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D41B" w14:textId="77777777" w:rsidR="00E40A49" w:rsidRDefault="00E40A49">
      <w:pPr>
        <w:rPr>
          <w:noProof/>
        </w:rPr>
      </w:pPr>
    </w:p>
    <w:p w14:paraId="5E96A7DB" w14:textId="77777777" w:rsidR="00E40A49" w:rsidRDefault="00E40A49" w:rsidP="00E40A49">
      <w:pPr>
        <w:pStyle w:val="Heading1"/>
        <w:jc w:val="center"/>
      </w:pPr>
    </w:p>
    <w:p w14:paraId="5AB7610F" w14:textId="77777777" w:rsidR="00E40A49" w:rsidRDefault="00E40A49" w:rsidP="00E40A49">
      <w:pPr>
        <w:pStyle w:val="Heading1"/>
        <w:jc w:val="center"/>
      </w:pPr>
    </w:p>
    <w:p w14:paraId="016575B3" w14:textId="2A49F43C" w:rsidR="00E053A7" w:rsidRDefault="00E40A49" w:rsidP="00E40A49">
      <w:pPr>
        <w:pStyle w:val="Heading1"/>
        <w:jc w:val="center"/>
        <w:rPr>
          <w:b/>
          <w:bCs/>
          <w:sz w:val="44"/>
          <w:szCs w:val="44"/>
        </w:rPr>
      </w:pPr>
      <w:r w:rsidRPr="00E40A49">
        <w:rPr>
          <w:b/>
          <w:bCs/>
          <w:noProof/>
          <w:sz w:val="44"/>
          <w:szCs w:val="44"/>
        </w:rPr>
        <w:drawing>
          <wp:anchor distT="0" distB="0" distL="114300" distR="114300" simplePos="0" relativeHeight="251659264" behindDoc="1" locked="0" layoutInCell="1" allowOverlap="1" wp14:anchorId="42DCBE76" wp14:editId="462C9BDE">
            <wp:simplePos x="0" y="0"/>
            <wp:positionH relativeFrom="page">
              <wp:align>left</wp:align>
            </wp:positionH>
            <wp:positionV relativeFrom="page">
              <wp:align>top</wp:align>
            </wp:positionV>
            <wp:extent cx="7581600" cy="10724400"/>
            <wp:effectExtent l="0" t="0" r="635" b="127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r w:rsidRPr="00E40A49">
        <w:rPr>
          <w:b/>
          <w:bCs/>
          <w:sz w:val="44"/>
          <w:szCs w:val="44"/>
        </w:rPr>
        <w:t>User Guide for Management Information Systems (MIS) and Financial Information Systems (FAS) in Educational Establishments Framework</w:t>
      </w:r>
    </w:p>
    <w:p w14:paraId="722B6A40" w14:textId="06980BE5" w:rsidR="00E40A49" w:rsidRDefault="00E40A49" w:rsidP="00E40A49"/>
    <w:p w14:paraId="120D0060" w14:textId="78C7922C" w:rsidR="00E40A49" w:rsidRDefault="00272260" w:rsidP="00E40A49">
      <w:pPr>
        <w:pStyle w:val="Heading2"/>
        <w:jc w:val="center"/>
      </w:pPr>
      <w:r>
        <w:t>FRAMEWORK AGREEMENT TERM</w:t>
      </w:r>
      <w:r w:rsidR="00E40A49">
        <w:t>: 6</w:t>
      </w:r>
      <w:r w:rsidR="00E40A49" w:rsidRPr="00E40A49">
        <w:rPr>
          <w:vertAlign w:val="superscript"/>
        </w:rPr>
        <w:t>th</w:t>
      </w:r>
      <w:r w:rsidR="00E40A49">
        <w:t xml:space="preserve"> June 2023 – 31</w:t>
      </w:r>
      <w:r w:rsidR="00E40A49" w:rsidRPr="00E40A49">
        <w:rPr>
          <w:vertAlign w:val="superscript"/>
        </w:rPr>
        <w:t>st</w:t>
      </w:r>
      <w:r w:rsidR="00E40A49">
        <w:t xml:space="preserve"> March 2027</w:t>
      </w:r>
    </w:p>
    <w:p w14:paraId="1FFF1568" w14:textId="2786C276" w:rsidR="00310D77" w:rsidRDefault="00310D77" w:rsidP="00310D77">
      <w:pPr>
        <w:pStyle w:val="Heading2"/>
        <w:jc w:val="center"/>
        <w:rPr>
          <w:rFonts w:ascii="Verdana" w:hAnsi="Verdana"/>
          <w:sz w:val="18"/>
          <w:szCs w:val="18"/>
        </w:rPr>
      </w:pPr>
      <w:r w:rsidRPr="00840B04">
        <w:t>FRAMEWORK REFERENCE NUMBERS:</w:t>
      </w:r>
      <w:r w:rsidRPr="00B37BA9">
        <w:tab/>
      </w:r>
      <w:r>
        <w:t xml:space="preserve">FTS: </w:t>
      </w:r>
      <w:r w:rsidR="00272260" w:rsidRPr="00272260">
        <w:t>2023/S 000-031652</w:t>
      </w:r>
    </w:p>
    <w:p w14:paraId="7214B8B6" w14:textId="77777777" w:rsidR="00310D77" w:rsidRPr="00310D77" w:rsidRDefault="00310D77" w:rsidP="00310D77"/>
    <w:p w14:paraId="113576BF" w14:textId="77777777" w:rsidR="00310D77" w:rsidRPr="00310D77" w:rsidRDefault="00310D77" w:rsidP="00310D77"/>
    <w:p w14:paraId="354ABBD0" w14:textId="0F13FDC5" w:rsidR="00E40A49" w:rsidRDefault="00E40A49" w:rsidP="00E40A49"/>
    <w:p w14:paraId="0CFB34ED" w14:textId="1C2A3115" w:rsidR="00E40A49" w:rsidRDefault="00E40A49" w:rsidP="00E40A49"/>
    <w:p w14:paraId="19A9A2F6" w14:textId="1BDD70EA" w:rsidR="00E40A49" w:rsidRDefault="00E40A49" w:rsidP="00E40A49"/>
    <w:p w14:paraId="194187AB" w14:textId="01FE699E" w:rsidR="00E40A49" w:rsidRDefault="00E40A49" w:rsidP="00E40A49"/>
    <w:p w14:paraId="1826723F" w14:textId="15F995EF" w:rsidR="00E40A49" w:rsidRDefault="00E40A49" w:rsidP="00E40A49"/>
    <w:p w14:paraId="22F9C166" w14:textId="627D3C25" w:rsidR="00E40A49" w:rsidRDefault="00E40A49" w:rsidP="00E40A49"/>
    <w:p w14:paraId="79794C54" w14:textId="3D721A24" w:rsidR="00E40A49" w:rsidRDefault="00E40A49" w:rsidP="00E40A49"/>
    <w:p w14:paraId="5D61B902" w14:textId="09036B14" w:rsidR="00E40A49" w:rsidRDefault="00E40A49" w:rsidP="00E40A49"/>
    <w:p w14:paraId="632FA093" w14:textId="35301E17" w:rsidR="00E40A49" w:rsidRDefault="00E40A49" w:rsidP="00E40A49"/>
    <w:p w14:paraId="11FF2768" w14:textId="04978C76" w:rsidR="00E40A49" w:rsidRDefault="00E40A49" w:rsidP="00E40A49"/>
    <w:p w14:paraId="44F44FE0" w14:textId="6BA92960" w:rsidR="00E40A49" w:rsidRDefault="00E40A49" w:rsidP="00E40A49"/>
    <w:p w14:paraId="53A54262" w14:textId="05F082D8" w:rsidR="00E40A49" w:rsidRDefault="00E40A49" w:rsidP="00E40A49"/>
    <w:p w14:paraId="76D858C1" w14:textId="64D1DE78" w:rsidR="00E40A49" w:rsidRDefault="00E40A49" w:rsidP="00E40A49"/>
    <w:p w14:paraId="62509342" w14:textId="482E39DF" w:rsidR="00E40A49" w:rsidRDefault="00E40A49" w:rsidP="00E40A49"/>
    <w:p w14:paraId="306EF342" w14:textId="2B76FD40" w:rsidR="00E40A49" w:rsidRDefault="00E40A49" w:rsidP="00E40A49"/>
    <w:p w14:paraId="0EDE44AA" w14:textId="7FFCDB03" w:rsidR="00E40A49" w:rsidRDefault="00E40A49" w:rsidP="00E40A49"/>
    <w:p w14:paraId="226AF734" w14:textId="7C9A5C21" w:rsidR="00E40A49" w:rsidRDefault="00E40A49" w:rsidP="00E40A49"/>
    <w:p w14:paraId="48CD60D0" w14:textId="0A07EB1A" w:rsidR="00E40A49" w:rsidRDefault="00E40A49" w:rsidP="00E40A49"/>
    <w:p w14:paraId="405D293E" w14:textId="5104064A" w:rsidR="00E40A49" w:rsidRDefault="00E40A49" w:rsidP="00E40A49"/>
    <w:p w14:paraId="22722BC3" w14:textId="44406BFB" w:rsidR="00E40A49" w:rsidRDefault="00E40A49" w:rsidP="00E40A49">
      <w:pPr>
        <w:pStyle w:val="Heading1"/>
      </w:pPr>
      <w:r>
        <w:t>INTRODUCTION:</w:t>
      </w:r>
    </w:p>
    <w:p w14:paraId="767B5D23" w14:textId="6DA36D20" w:rsidR="00E40A49" w:rsidRDefault="0029513F" w:rsidP="00E40A49">
      <w:r>
        <w:t>1.</w:t>
      </w:r>
    </w:p>
    <w:p w14:paraId="16071DBB" w14:textId="30E36A64" w:rsidR="000A4EFB" w:rsidRDefault="00E40A49" w:rsidP="000A4EFB">
      <w:pPr>
        <w:pStyle w:val="ListParagraph"/>
        <w:numPr>
          <w:ilvl w:val="1"/>
          <w:numId w:val="1"/>
        </w:numPr>
      </w:pPr>
      <w:r>
        <w:t>This document is aimed at providing educational establishments and other Local Authorities with guidance in relation to the use of North Yorkshire Council’s MIS and FAS Framework Agreement.</w:t>
      </w:r>
    </w:p>
    <w:p w14:paraId="1F753ACC" w14:textId="65D4EAC9" w:rsidR="000A4EFB" w:rsidRDefault="000A4EFB" w:rsidP="000A4EFB">
      <w:pPr>
        <w:pStyle w:val="Heading1"/>
      </w:pPr>
      <w:r>
        <w:t>ACCESSING THE FRAMEWORK:</w:t>
      </w:r>
    </w:p>
    <w:p w14:paraId="1B3411D2" w14:textId="77777777" w:rsidR="000A4EFB" w:rsidRPr="000A4EFB" w:rsidRDefault="000A4EFB" w:rsidP="000A4EFB">
      <w:pPr>
        <w:pStyle w:val="ListParagraph"/>
        <w:numPr>
          <w:ilvl w:val="0"/>
          <w:numId w:val="1"/>
        </w:numPr>
        <w:rPr>
          <w:vanish/>
        </w:rPr>
      </w:pPr>
    </w:p>
    <w:p w14:paraId="34400354" w14:textId="4B336650" w:rsidR="000A4EFB" w:rsidRDefault="000A4EFB" w:rsidP="000A4EFB">
      <w:pPr>
        <w:pStyle w:val="ListParagraph"/>
        <w:numPr>
          <w:ilvl w:val="1"/>
          <w:numId w:val="1"/>
        </w:numPr>
      </w:pPr>
      <w:r>
        <w:t xml:space="preserve">This framework agreement is available to all Local Authorities within England and Wales. </w:t>
      </w:r>
      <w:r w:rsidRPr="000A4EFB">
        <w:t xml:space="preserve">A list of all the relevant English </w:t>
      </w:r>
      <w:r>
        <w:t>Local Authorities</w:t>
      </w:r>
      <w:r w:rsidRPr="000A4EFB">
        <w:t xml:space="preserve"> may be found at:</w:t>
      </w:r>
      <w:r>
        <w:t xml:space="preserve"> </w:t>
      </w:r>
      <w:hyperlink r:id="rId8" w:history="1">
        <w:r w:rsidRPr="000A4EFB">
          <w:rPr>
            <w:rStyle w:val="Hyperlink"/>
          </w:rPr>
          <w:t>Council in England</w:t>
        </w:r>
      </w:hyperlink>
      <w:r w:rsidRPr="000A4EFB">
        <w:t xml:space="preserve"> and a list of the Welsh L</w:t>
      </w:r>
      <w:r w:rsidR="000E3AA5">
        <w:t>ocal Authorities</w:t>
      </w:r>
      <w:r w:rsidRPr="000A4EFB">
        <w:t xml:space="preserve"> may be found at: </w:t>
      </w:r>
      <w:hyperlink r:id="rId9" w:history="1">
        <w:r w:rsidR="000E3AA5" w:rsidRPr="000E3AA5">
          <w:rPr>
            <w:rStyle w:val="Hyperlink"/>
          </w:rPr>
          <w:t>Welsh Local Authorities</w:t>
        </w:r>
      </w:hyperlink>
      <w:r w:rsidR="000E3AA5">
        <w:t xml:space="preserve">. </w:t>
      </w:r>
    </w:p>
    <w:p w14:paraId="0DE8E5A7" w14:textId="6465A0E8" w:rsidR="000E3AA5" w:rsidRDefault="000E3AA5" w:rsidP="000A4EFB">
      <w:pPr>
        <w:pStyle w:val="ListParagraph"/>
        <w:numPr>
          <w:ilvl w:val="1"/>
          <w:numId w:val="1"/>
        </w:numPr>
      </w:pPr>
      <w:r>
        <w:t xml:space="preserve">Alongside this the framework agreement is available for use by </w:t>
      </w:r>
      <w:r w:rsidRPr="000E3AA5">
        <w:t xml:space="preserve">all </w:t>
      </w:r>
      <w:r>
        <w:t>educational establishments</w:t>
      </w:r>
      <w:r w:rsidRPr="000E3AA5">
        <w:t xml:space="preserve"> throughout England and Wales. These schools include LA maintained, free schools, faith schools, Pupil Referral Units, Special Schools, Academies and Multi Academy Trusts. A list of all these schools may be found at: </w:t>
      </w:r>
      <w:hyperlink r:id="rId10" w:history="1">
        <w:r w:rsidRPr="000E3AA5">
          <w:rPr>
            <w:rStyle w:val="Hyperlink"/>
          </w:rPr>
          <w:t>Full List of Schools</w:t>
        </w:r>
      </w:hyperlink>
      <w:r>
        <w:t>. Please note that at this time this framework agreement is only available to educational establishments within the remit of the public sector.</w:t>
      </w:r>
    </w:p>
    <w:p w14:paraId="29DAC431" w14:textId="12D36DBC" w:rsidR="000E3AA5" w:rsidRDefault="000E3AA5" w:rsidP="000A4EFB">
      <w:pPr>
        <w:pStyle w:val="ListParagraph"/>
        <w:numPr>
          <w:ilvl w:val="1"/>
          <w:numId w:val="1"/>
        </w:numPr>
      </w:pPr>
      <w:r>
        <w:t xml:space="preserve">For the purpose of this document establishments detailed within </w:t>
      </w:r>
      <w:r w:rsidR="00FB46A9">
        <w:t xml:space="preserve">2.1 and </w:t>
      </w:r>
      <w:r>
        <w:t xml:space="preserve">2.2 are referred to as </w:t>
      </w:r>
      <w:r w:rsidR="00FB46A9">
        <w:t>Customers</w:t>
      </w:r>
      <w:r>
        <w:t>.</w:t>
      </w:r>
    </w:p>
    <w:p w14:paraId="23AD2DE1" w14:textId="1BEF7235" w:rsidR="000E3AA5" w:rsidRDefault="000E3AA5" w:rsidP="000E3AA5">
      <w:pPr>
        <w:pStyle w:val="Heading1"/>
      </w:pPr>
      <w:r>
        <w:t>Framework Term:</w:t>
      </w:r>
    </w:p>
    <w:p w14:paraId="7153C137" w14:textId="65CF27F5" w:rsidR="0029513F" w:rsidRPr="0029513F" w:rsidRDefault="0029513F" w:rsidP="0029513F">
      <w:r>
        <w:t>3.</w:t>
      </w:r>
    </w:p>
    <w:p w14:paraId="4BFD19BE" w14:textId="325F0FEE" w:rsidR="000E3AA5" w:rsidRDefault="000E3AA5" w:rsidP="00E53123">
      <w:pPr>
        <w:pStyle w:val="ListParagraph"/>
        <w:numPr>
          <w:ilvl w:val="1"/>
          <w:numId w:val="5"/>
        </w:numPr>
      </w:pPr>
      <w:r>
        <w:t>This framework agreement commenced on 6</w:t>
      </w:r>
      <w:r w:rsidRPr="00FF0C64">
        <w:rPr>
          <w:vertAlign w:val="superscript"/>
        </w:rPr>
        <w:t>th</w:t>
      </w:r>
      <w:r>
        <w:t xml:space="preserve"> June 2023 and will expire</w:t>
      </w:r>
      <w:r w:rsidR="00FB46A9">
        <w:t xml:space="preserve"> on 31</w:t>
      </w:r>
      <w:r w:rsidR="00FB46A9" w:rsidRPr="00FF0C64">
        <w:rPr>
          <w:vertAlign w:val="superscript"/>
        </w:rPr>
        <w:t>st</w:t>
      </w:r>
      <w:r w:rsidR="00FB46A9">
        <w:t xml:space="preserve"> March 2027. In order to provide flexibility to Customers, call off contracts may be entered into for a maximum period of three years on or before the expiry of the framework agreement. </w:t>
      </w:r>
    </w:p>
    <w:p w14:paraId="03F2E04D" w14:textId="0646B5E1" w:rsidR="00FB46A9" w:rsidRDefault="00FB46A9" w:rsidP="00E53123">
      <w:pPr>
        <w:pStyle w:val="ListParagraph"/>
        <w:numPr>
          <w:ilvl w:val="1"/>
          <w:numId w:val="5"/>
        </w:numPr>
      </w:pPr>
      <w:r>
        <w:t xml:space="preserve">If a customer doesn’t wish to commit to a maximum </w:t>
      </w:r>
      <w:r w:rsidR="00CB08FC">
        <w:t>three-year</w:t>
      </w:r>
      <w:r>
        <w:t xml:space="preserve"> term, then options are available for a </w:t>
      </w:r>
      <w:r w:rsidR="002339B8">
        <w:t>one- or two-year</w:t>
      </w:r>
      <w:r>
        <w:t xml:space="preserve"> contracts with an additional extension period to take them up to a three year maximum term.  </w:t>
      </w:r>
    </w:p>
    <w:p w14:paraId="453B758E" w14:textId="0541F650" w:rsidR="00FB46A9" w:rsidRDefault="00FB46A9" w:rsidP="00E53123">
      <w:pPr>
        <w:pStyle w:val="ListParagraph"/>
        <w:numPr>
          <w:ilvl w:val="1"/>
          <w:numId w:val="5"/>
        </w:numPr>
      </w:pPr>
      <w:r>
        <w:t xml:space="preserve">For </w:t>
      </w:r>
      <w:r w:rsidR="002339B8">
        <w:t>example,</w:t>
      </w:r>
      <w:r>
        <w:t xml:space="preserve"> a call off contract could be awarded for: two years with an additional year extension to create a three year contract.</w:t>
      </w:r>
    </w:p>
    <w:p w14:paraId="13CBCD6D" w14:textId="42FA3EAB" w:rsidR="00EC45DD" w:rsidRDefault="00EC45DD" w:rsidP="00EC45DD">
      <w:pPr>
        <w:pStyle w:val="Heading1"/>
      </w:pPr>
      <w:r>
        <w:t>Scope:</w:t>
      </w:r>
    </w:p>
    <w:p w14:paraId="53CD934C" w14:textId="4E33DB8E" w:rsidR="0029513F" w:rsidRPr="0029513F" w:rsidRDefault="0029513F" w:rsidP="0029513F">
      <w:r>
        <w:t>4.</w:t>
      </w:r>
    </w:p>
    <w:p w14:paraId="354FD702" w14:textId="501356FA" w:rsidR="00FF0C64" w:rsidRDefault="0028531D" w:rsidP="005D797F">
      <w:pPr>
        <w:pStyle w:val="ListParagraph"/>
        <w:numPr>
          <w:ilvl w:val="1"/>
          <w:numId w:val="15"/>
        </w:numPr>
      </w:pPr>
      <w:r>
        <w:t xml:space="preserve">All of </w:t>
      </w:r>
      <w:r w:rsidR="00FF7254">
        <w:t xml:space="preserve">the </w:t>
      </w:r>
      <w:r>
        <w:t xml:space="preserve">lots which include the provision of a Management Information System (MIS) meet the requirements set by the DfE for the transfer of data between schools as is defined at: </w:t>
      </w:r>
      <w:hyperlink r:id="rId11" w:history="1">
        <w:r w:rsidRPr="0028531D">
          <w:rPr>
            <w:rStyle w:val="Hyperlink"/>
          </w:rPr>
          <w:t>Common Transfer File</w:t>
        </w:r>
      </w:hyperlink>
      <w:r>
        <w:t xml:space="preserve">. </w:t>
      </w:r>
    </w:p>
    <w:p w14:paraId="4FEC1281" w14:textId="77777777" w:rsidR="00FF0C64" w:rsidRDefault="0028531D" w:rsidP="005D797F">
      <w:pPr>
        <w:pStyle w:val="ListParagraph"/>
        <w:numPr>
          <w:ilvl w:val="1"/>
          <w:numId w:val="15"/>
        </w:numPr>
      </w:pPr>
      <w:r>
        <w:t xml:space="preserve">All the lots which include the provision of a Financial Administration System (FAS) include a ‘core’ offering to support the purchase ordering process, a reporting module, export VAT documents and management of multiple local bank accounts using a central fund. </w:t>
      </w:r>
    </w:p>
    <w:p w14:paraId="4B2C2480" w14:textId="77777777" w:rsidR="00FF0C64" w:rsidRDefault="0028531D" w:rsidP="005D797F">
      <w:pPr>
        <w:pStyle w:val="ListParagraph"/>
        <w:numPr>
          <w:ilvl w:val="1"/>
          <w:numId w:val="15"/>
        </w:numPr>
      </w:pPr>
      <w:r>
        <w:t xml:space="preserve">In addition to the core offering, </w:t>
      </w:r>
      <w:r w:rsidR="00BA75DE">
        <w:t xml:space="preserve">suppliers offer additional modules which schools may request in order to enhance their MIS or FAS. Additional modules and costs will differ per supplier so your requirements must be clearly stated </w:t>
      </w:r>
      <w:r w:rsidR="00FF0C64">
        <w:t>within your specification of requirements.</w:t>
      </w:r>
    </w:p>
    <w:p w14:paraId="3129CA7D" w14:textId="59AE7C6B" w:rsidR="00FF0C64" w:rsidRDefault="00FF0C64" w:rsidP="005D797F">
      <w:pPr>
        <w:pStyle w:val="ListParagraph"/>
        <w:numPr>
          <w:ilvl w:val="1"/>
          <w:numId w:val="15"/>
        </w:numPr>
      </w:pPr>
      <w:r>
        <w:lastRenderedPageBreak/>
        <w:t xml:space="preserve">The framework has twelve lots which have been spilt in order to meet the requirements of both primary and secondary schools. Please see the list below: </w:t>
      </w:r>
    </w:p>
    <w:p w14:paraId="027C5CB4" w14:textId="77777777" w:rsidR="0009660D" w:rsidRDefault="0009660D" w:rsidP="0009660D">
      <w:pPr>
        <w:pStyle w:val="ListParagraph"/>
        <w:ind w:left="792"/>
      </w:pPr>
    </w:p>
    <w:p w14:paraId="131BEB4A" w14:textId="74ACA5A0" w:rsidR="0009660D" w:rsidRDefault="0009660D" w:rsidP="0009660D">
      <w:pPr>
        <w:pStyle w:val="ListParagraph"/>
        <w:numPr>
          <w:ilvl w:val="0"/>
          <w:numId w:val="6"/>
        </w:numPr>
      </w:pPr>
      <w:r>
        <w:t>Lot One -</w:t>
      </w:r>
      <w:r w:rsidRPr="0009660D">
        <w:t xml:space="preserve"> MIS with support from </w:t>
      </w:r>
      <w:bookmarkStart w:id="0" w:name="_Hlk185922046"/>
      <w:r w:rsidR="005D797F">
        <w:t xml:space="preserve">an Accredited Support </w:t>
      </w:r>
      <w:bookmarkStart w:id="1" w:name="_Hlk185922182"/>
      <w:r w:rsidR="005D797F">
        <w:t>Provider</w:t>
      </w:r>
      <w:r w:rsidRPr="0009660D">
        <w:t xml:space="preserve"> </w:t>
      </w:r>
      <w:bookmarkEnd w:id="0"/>
      <w:r w:rsidR="005D797F">
        <w:t xml:space="preserve">(e.g. NYES Digital) </w:t>
      </w:r>
      <w:bookmarkEnd w:id="1"/>
      <w:r w:rsidRPr="0009660D">
        <w:t>for Primary Schools.</w:t>
      </w:r>
    </w:p>
    <w:p w14:paraId="3090EF48" w14:textId="1A52DDAB" w:rsidR="0009660D" w:rsidRDefault="0009660D" w:rsidP="0009660D">
      <w:pPr>
        <w:pStyle w:val="ListParagraph"/>
        <w:numPr>
          <w:ilvl w:val="0"/>
          <w:numId w:val="6"/>
        </w:numPr>
      </w:pPr>
      <w:r>
        <w:t xml:space="preserve">Lot Two - </w:t>
      </w:r>
      <w:r w:rsidRPr="0009660D">
        <w:t xml:space="preserve">MIS with support from an </w:t>
      </w:r>
      <w:r w:rsidR="005D797F">
        <w:t>Accredited Support Provider</w:t>
      </w:r>
      <w:r w:rsidR="005D797F" w:rsidRPr="0009660D">
        <w:t xml:space="preserve"> </w:t>
      </w:r>
      <w:r w:rsidR="005D797F">
        <w:t xml:space="preserve">(e.g. NYES </w:t>
      </w:r>
      <w:r w:rsidR="002339B8">
        <w:t xml:space="preserve">Digital) </w:t>
      </w:r>
      <w:r w:rsidR="002339B8" w:rsidRPr="0009660D">
        <w:t>for</w:t>
      </w:r>
      <w:r w:rsidRPr="0009660D">
        <w:t xml:space="preserve"> Secondary Schools.</w:t>
      </w:r>
    </w:p>
    <w:p w14:paraId="6500EB6C" w14:textId="632085AA" w:rsidR="0009660D" w:rsidRDefault="0009660D" w:rsidP="0009660D">
      <w:pPr>
        <w:pStyle w:val="ListParagraph"/>
        <w:numPr>
          <w:ilvl w:val="0"/>
          <w:numId w:val="6"/>
        </w:numPr>
      </w:pPr>
      <w:r>
        <w:t xml:space="preserve">Lot Three - </w:t>
      </w:r>
      <w:r w:rsidRPr="0009660D">
        <w:t>MIS with support from the Supplier for Primary Schools.</w:t>
      </w:r>
    </w:p>
    <w:p w14:paraId="54472FF7" w14:textId="749275B9" w:rsidR="0009660D" w:rsidRDefault="0009660D" w:rsidP="0009660D">
      <w:pPr>
        <w:pStyle w:val="ListParagraph"/>
        <w:numPr>
          <w:ilvl w:val="0"/>
          <w:numId w:val="6"/>
        </w:numPr>
      </w:pPr>
      <w:r>
        <w:t xml:space="preserve">Lot Four - </w:t>
      </w:r>
      <w:r w:rsidRPr="0009660D">
        <w:t>MIS with support from the Supplier for Secondary Schools.</w:t>
      </w:r>
    </w:p>
    <w:p w14:paraId="59E64FE1" w14:textId="0F14EF12" w:rsidR="0009660D" w:rsidRDefault="0009660D" w:rsidP="0009660D">
      <w:pPr>
        <w:pStyle w:val="ListParagraph"/>
        <w:numPr>
          <w:ilvl w:val="0"/>
          <w:numId w:val="6"/>
        </w:numPr>
      </w:pPr>
      <w:r>
        <w:t xml:space="preserve">Lot Five - </w:t>
      </w:r>
      <w:r w:rsidRPr="0009660D">
        <w:t xml:space="preserve">FAS support from an </w:t>
      </w:r>
      <w:r w:rsidR="005D797F">
        <w:t xml:space="preserve">Accredited Support </w:t>
      </w:r>
      <w:r w:rsidR="002339B8">
        <w:t>Provider (</w:t>
      </w:r>
      <w:r w:rsidR="005D797F">
        <w:t>e.g. N</w:t>
      </w:r>
      <w:r w:rsidR="00E23D35">
        <w:t>Y</w:t>
      </w:r>
      <w:r w:rsidR="005D797F">
        <w:t xml:space="preserve">ES </w:t>
      </w:r>
      <w:r w:rsidR="002339B8">
        <w:t xml:space="preserve">Digital)  </w:t>
      </w:r>
      <w:r w:rsidRPr="0009660D">
        <w:t xml:space="preserve">for Primary Schools. </w:t>
      </w:r>
    </w:p>
    <w:p w14:paraId="3C7502D1" w14:textId="1EFD5E8B" w:rsidR="0009660D" w:rsidRDefault="0009660D" w:rsidP="0009660D">
      <w:pPr>
        <w:pStyle w:val="ListParagraph"/>
        <w:numPr>
          <w:ilvl w:val="0"/>
          <w:numId w:val="6"/>
        </w:numPr>
      </w:pPr>
      <w:r>
        <w:t xml:space="preserve">Lot Six – </w:t>
      </w:r>
      <w:r w:rsidRPr="0009660D">
        <w:t>FAS with support from an</w:t>
      </w:r>
      <w:r w:rsidR="005D797F" w:rsidRPr="005D797F">
        <w:t xml:space="preserve"> </w:t>
      </w:r>
      <w:r w:rsidR="005D797F">
        <w:t>Accredited Support Provider</w:t>
      </w:r>
      <w:r w:rsidRPr="0009660D">
        <w:t xml:space="preserve"> </w:t>
      </w:r>
      <w:r w:rsidR="005D797F">
        <w:t xml:space="preserve">(e.g. NYES Digital) </w:t>
      </w:r>
      <w:r w:rsidRPr="0009660D">
        <w:t xml:space="preserve">for Secondary Schools. </w:t>
      </w:r>
    </w:p>
    <w:p w14:paraId="5EBD1239" w14:textId="4EBF3D10" w:rsidR="0009660D" w:rsidRDefault="0009660D" w:rsidP="0009660D">
      <w:pPr>
        <w:pStyle w:val="ListParagraph"/>
        <w:numPr>
          <w:ilvl w:val="0"/>
          <w:numId w:val="6"/>
        </w:numPr>
      </w:pPr>
      <w:r>
        <w:t xml:space="preserve">Lot Seven - </w:t>
      </w:r>
      <w:r w:rsidRPr="0009660D">
        <w:t>FAS support from the Supplier for Primary Schools.</w:t>
      </w:r>
    </w:p>
    <w:p w14:paraId="03AE63DC" w14:textId="7FA1D973" w:rsidR="0009660D" w:rsidRDefault="0009660D" w:rsidP="0009660D">
      <w:pPr>
        <w:pStyle w:val="ListParagraph"/>
        <w:numPr>
          <w:ilvl w:val="0"/>
          <w:numId w:val="6"/>
        </w:numPr>
      </w:pPr>
      <w:r>
        <w:t xml:space="preserve">Lot Eight - </w:t>
      </w:r>
      <w:r w:rsidRPr="0009660D">
        <w:t xml:space="preserve">FAS with support from the Supplier for Secondary Schools </w:t>
      </w:r>
    </w:p>
    <w:p w14:paraId="3C20B995" w14:textId="34F9E733" w:rsidR="0009660D" w:rsidRDefault="0009660D" w:rsidP="0009660D">
      <w:pPr>
        <w:pStyle w:val="ListParagraph"/>
        <w:numPr>
          <w:ilvl w:val="0"/>
          <w:numId w:val="6"/>
        </w:numPr>
      </w:pPr>
      <w:r>
        <w:t xml:space="preserve">Lot Nine - </w:t>
      </w:r>
      <w:r w:rsidRPr="0009660D">
        <w:t xml:space="preserve">MIS &amp; FAS support from </w:t>
      </w:r>
      <w:r w:rsidR="005D797F">
        <w:t xml:space="preserve">an </w:t>
      </w:r>
      <w:r w:rsidR="005D797F">
        <w:t>Accredited Support Provider</w:t>
      </w:r>
      <w:r w:rsidR="005D797F">
        <w:t xml:space="preserve"> </w:t>
      </w:r>
      <w:r w:rsidR="005D797F">
        <w:t xml:space="preserve">(e.g. NYES </w:t>
      </w:r>
      <w:r w:rsidR="002339B8">
        <w:t xml:space="preserve">Digital) </w:t>
      </w:r>
      <w:r w:rsidR="002339B8" w:rsidRPr="0009660D">
        <w:t>for</w:t>
      </w:r>
      <w:r w:rsidRPr="0009660D">
        <w:t xml:space="preserve"> Primary Schools</w:t>
      </w:r>
    </w:p>
    <w:p w14:paraId="0DFD9CBB" w14:textId="78A779A1" w:rsidR="0009660D" w:rsidRDefault="0009660D" w:rsidP="0009660D">
      <w:pPr>
        <w:pStyle w:val="ListParagraph"/>
        <w:numPr>
          <w:ilvl w:val="0"/>
          <w:numId w:val="6"/>
        </w:numPr>
      </w:pPr>
      <w:r>
        <w:t xml:space="preserve">Lot Ten - </w:t>
      </w:r>
      <w:r w:rsidRPr="0009660D">
        <w:t xml:space="preserve">MIS &amp; FAS from </w:t>
      </w:r>
      <w:r w:rsidR="005D797F">
        <w:t>an A</w:t>
      </w:r>
      <w:r w:rsidR="005D797F">
        <w:t>ccredited Support Provider</w:t>
      </w:r>
      <w:r w:rsidR="005D797F" w:rsidRPr="0009660D">
        <w:t xml:space="preserve"> </w:t>
      </w:r>
      <w:r w:rsidR="005D797F">
        <w:t xml:space="preserve">(e.g. NYES Digital) </w:t>
      </w:r>
      <w:r w:rsidR="005D797F">
        <w:t>f</w:t>
      </w:r>
      <w:r w:rsidRPr="0009660D">
        <w:t xml:space="preserve">or Secondary Schools </w:t>
      </w:r>
    </w:p>
    <w:p w14:paraId="128C1EA5" w14:textId="23BB6660" w:rsidR="0009660D" w:rsidRDefault="0009660D" w:rsidP="0009660D">
      <w:pPr>
        <w:pStyle w:val="ListParagraph"/>
        <w:numPr>
          <w:ilvl w:val="0"/>
          <w:numId w:val="6"/>
        </w:numPr>
      </w:pPr>
      <w:r>
        <w:t xml:space="preserve">Lot Eleven - </w:t>
      </w:r>
      <w:r w:rsidRPr="0009660D">
        <w:t>MIS &amp; FAS with support from the Supplier for Primary Schools.</w:t>
      </w:r>
    </w:p>
    <w:p w14:paraId="5D73B561" w14:textId="727C7681" w:rsidR="0009660D" w:rsidRDefault="0009660D" w:rsidP="0009660D">
      <w:pPr>
        <w:pStyle w:val="ListParagraph"/>
        <w:numPr>
          <w:ilvl w:val="0"/>
          <w:numId w:val="6"/>
        </w:numPr>
      </w:pPr>
      <w:r>
        <w:t xml:space="preserve">Lot Twelve - </w:t>
      </w:r>
      <w:r w:rsidRPr="0009660D">
        <w:t>MIS &amp; FAS with support from the Supplier for Secondary Schools.</w:t>
      </w:r>
    </w:p>
    <w:p w14:paraId="2BDB371D" w14:textId="77777777" w:rsidR="005674F5" w:rsidRDefault="005674F5" w:rsidP="005674F5">
      <w:pPr>
        <w:pStyle w:val="ListParagraph"/>
        <w:ind w:left="1944"/>
      </w:pPr>
    </w:p>
    <w:p w14:paraId="000233AB" w14:textId="23054315" w:rsidR="0009660D" w:rsidRDefault="005674F5" w:rsidP="0029513F">
      <w:pPr>
        <w:pStyle w:val="ListParagraph"/>
        <w:numPr>
          <w:ilvl w:val="1"/>
          <w:numId w:val="19"/>
        </w:numPr>
      </w:pPr>
      <w:r>
        <w:t>You are required to include which lot you plan on utilising on your specification of requirements, and the call off contract between yourself and the supplier.</w:t>
      </w:r>
    </w:p>
    <w:p w14:paraId="01D643AF" w14:textId="77777777" w:rsidR="005674F5" w:rsidRDefault="005674F5" w:rsidP="005674F5">
      <w:pPr>
        <w:pStyle w:val="Heading2"/>
        <w:rPr>
          <w:sz w:val="32"/>
          <w:szCs w:val="32"/>
        </w:rPr>
      </w:pPr>
      <w:bookmarkStart w:id="2" w:name="_Toc473890297"/>
      <w:bookmarkStart w:id="3" w:name="_Hlk158733841"/>
      <w:r w:rsidRPr="008E65AE">
        <w:rPr>
          <w:sz w:val="32"/>
          <w:szCs w:val="32"/>
        </w:rPr>
        <w:t>CALLING-OFF FROM THE FRAMEWORK AGREEMENT:</w:t>
      </w:r>
      <w:bookmarkEnd w:id="2"/>
    </w:p>
    <w:p w14:paraId="53CE9E5F" w14:textId="34FE0462" w:rsidR="0029513F" w:rsidRPr="0029513F" w:rsidRDefault="0029513F" w:rsidP="0029513F">
      <w:r>
        <w:t>5.</w:t>
      </w:r>
    </w:p>
    <w:bookmarkEnd w:id="3"/>
    <w:p w14:paraId="63ABFC1E" w14:textId="3ADB8000" w:rsidR="005674F5" w:rsidRPr="00FF7254" w:rsidRDefault="005674F5" w:rsidP="0029513F">
      <w:pPr>
        <w:pStyle w:val="ListParagraph"/>
        <w:numPr>
          <w:ilvl w:val="1"/>
          <w:numId w:val="20"/>
        </w:numPr>
        <w:rPr>
          <w:b/>
          <w:bCs/>
        </w:rPr>
      </w:pPr>
      <w:r w:rsidRPr="00FF7254">
        <w:rPr>
          <w:b/>
          <w:bCs/>
        </w:rPr>
        <w:t xml:space="preserve">Direct award is not permitted via this Framework Agreement. All call off contracts are required to be made via a further competition. </w:t>
      </w:r>
    </w:p>
    <w:p w14:paraId="11CA568C" w14:textId="30C24CBA" w:rsidR="005674F5" w:rsidRPr="00E23D35" w:rsidRDefault="005674F5" w:rsidP="0029513F">
      <w:pPr>
        <w:pStyle w:val="ListParagraph"/>
        <w:numPr>
          <w:ilvl w:val="1"/>
          <w:numId w:val="20"/>
        </w:numPr>
      </w:pPr>
      <w:r>
        <w:t xml:space="preserve">All suppliers appointed to the required lot </w:t>
      </w:r>
      <w:r w:rsidR="005D797F">
        <w:t>must</w:t>
      </w:r>
      <w:r>
        <w:t xml:space="preserve"> be invited to participate </w:t>
      </w:r>
      <w:r w:rsidR="000D07EC">
        <w:t xml:space="preserve">to the further competition. For a full list of the suppliers available per lot please </w:t>
      </w:r>
      <w:r w:rsidR="000D07EC" w:rsidRPr="00E23D35">
        <w:t xml:space="preserve">see </w:t>
      </w:r>
      <w:r w:rsidR="006E0323" w:rsidRPr="00E23D35">
        <w:t xml:space="preserve">list </w:t>
      </w:r>
      <w:r w:rsidR="00E23D35" w:rsidRPr="00E23D35">
        <w:t>below -</w:t>
      </w:r>
      <w:r w:rsidR="00E2514E" w:rsidRPr="00E23D35">
        <w:t xml:space="preserve"> Please also see Appendix 1</w:t>
      </w:r>
    </w:p>
    <w:p w14:paraId="5A903919" w14:textId="793E9195" w:rsidR="000D07EC" w:rsidRDefault="000D07EC" w:rsidP="0029513F">
      <w:pPr>
        <w:pStyle w:val="ListParagraph"/>
        <w:numPr>
          <w:ilvl w:val="1"/>
          <w:numId w:val="20"/>
        </w:numPr>
      </w:pPr>
      <w:r>
        <w:t xml:space="preserve">Customers must evaluate all suppliers who have </w:t>
      </w:r>
      <w:r w:rsidR="005D797F">
        <w:t>responded</w:t>
      </w:r>
      <w:r>
        <w:t xml:space="preserve"> to the further competition using the criteria laid out below:</w:t>
      </w:r>
    </w:p>
    <w:tbl>
      <w:tblPr>
        <w:tblStyle w:val="TableGrid"/>
        <w:tblW w:w="0" w:type="auto"/>
        <w:tblInd w:w="720" w:type="dxa"/>
        <w:tblLook w:val="04A0" w:firstRow="1" w:lastRow="0" w:firstColumn="1" w:lastColumn="0" w:noHBand="0" w:noVBand="1"/>
      </w:tblPr>
      <w:tblGrid>
        <w:gridCol w:w="4160"/>
        <w:gridCol w:w="4136"/>
      </w:tblGrid>
      <w:tr w:rsidR="000D07EC" w:rsidRPr="000D07EC" w14:paraId="2C169C6E" w14:textId="77777777" w:rsidTr="000D07EC">
        <w:tc>
          <w:tcPr>
            <w:tcW w:w="4160" w:type="dxa"/>
          </w:tcPr>
          <w:p w14:paraId="0D7D1643"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b/>
                <w:sz w:val="24"/>
                <w:szCs w:val="24"/>
              </w:rPr>
            </w:pPr>
            <w:r w:rsidRPr="000D07EC">
              <w:rPr>
                <w:rFonts w:asciiTheme="minorHAnsi" w:hAnsiTheme="minorHAnsi" w:cstheme="minorHAnsi"/>
                <w:b/>
                <w:sz w:val="24"/>
                <w:szCs w:val="24"/>
              </w:rPr>
              <w:t>Criteria</w:t>
            </w:r>
          </w:p>
        </w:tc>
        <w:tc>
          <w:tcPr>
            <w:tcW w:w="4136" w:type="dxa"/>
          </w:tcPr>
          <w:p w14:paraId="12CBB620"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b/>
                <w:sz w:val="24"/>
                <w:szCs w:val="24"/>
              </w:rPr>
            </w:pPr>
            <w:r w:rsidRPr="000D07EC">
              <w:rPr>
                <w:rFonts w:asciiTheme="minorHAnsi" w:hAnsiTheme="minorHAnsi" w:cstheme="minorHAnsi"/>
                <w:b/>
                <w:sz w:val="24"/>
                <w:szCs w:val="24"/>
              </w:rPr>
              <w:t>Weighting</w:t>
            </w:r>
          </w:p>
        </w:tc>
      </w:tr>
      <w:tr w:rsidR="000D07EC" w:rsidRPr="000D07EC" w14:paraId="7419CB48" w14:textId="77777777" w:rsidTr="000D07EC">
        <w:tc>
          <w:tcPr>
            <w:tcW w:w="4160" w:type="dxa"/>
          </w:tcPr>
          <w:p w14:paraId="7A7BE147"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Ability to deliver the project, data migration and training within the LA/ school’s specified timescales</w:t>
            </w:r>
          </w:p>
        </w:tc>
        <w:tc>
          <w:tcPr>
            <w:tcW w:w="4136" w:type="dxa"/>
          </w:tcPr>
          <w:p w14:paraId="7D7E5F45"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30%</w:t>
            </w:r>
          </w:p>
        </w:tc>
      </w:tr>
      <w:tr w:rsidR="000D07EC" w:rsidRPr="000D07EC" w14:paraId="4ABE0828" w14:textId="77777777" w:rsidTr="000D07EC">
        <w:tc>
          <w:tcPr>
            <w:tcW w:w="4160" w:type="dxa"/>
          </w:tcPr>
          <w:p w14:paraId="1C9874AE" w14:textId="407520A2"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 xml:space="preserve">Quality score (this score is carried through </w:t>
            </w:r>
            <w:r>
              <w:rPr>
                <w:rFonts w:asciiTheme="minorHAnsi" w:hAnsiTheme="minorHAnsi" w:cstheme="minorHAnsi"/>
                <w:sz w:val="24"/>
                <w:szCs w:val="24"/>
              </w:rPr>
              <w:t>from the evaluation by North Yorkshire Council – Please see Appendix 1 for details</w:t>
            </w:r>
            <w:r w:rsidRPr="000D07EC">
              <w:rPr>
                <w:rFonts w:asciiTheme="minorHAnsi" w:hAnsiTheme="minorHAnsi" w:cstheme="minorHAnsi"/>
                <w:sz w:val="24"/>
                <w:szCs w:val="24"/>
              </w:rPr>
              <w:t>)</w:t>
            </w:r>
          </w:p>
        </w:tc>
        <w:tc>
          <w:tcPr>
            <w:tcW w:w="4136" w:type="dxa"/>
          </w:tcPr>
          <w:p w14:paraId="1FC103DD"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15%</w:t>
            </w:r>
          </w:p>
        </w:tc>
      </w:tr>
      <w:tr w:rsidR="000D07EC" w:rsidRPr="000D07EC" w14:paraId="0C5B645F" w14:textId="77777777" w:rsidTr="000D07EC">
        <w:tc>
          <w:tcPr>
            <w:tcW w:w="4160" w:type="dxa"/>
          </w:tcPr>
          <w:p w14:paraId="774BBC52"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Technical functionality</w:t>
            </w:r>
          </w:p>
        </w:tc>
        <w:tc>
          <w:tcPr>
            <w:tcW w:w="4136" w:type="dxa"/>
          </w:tcPr>
          <w:p w14:paraId="2F84952B"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15%</w:t>
            </w:r>
          </w:p>
        </w:tc>
      </w:tr>
      <w:tr w:rsidR="000D07EC" w:rsidRPr="000D07EC" w14:paraId="09C2B402" w14:textId="77777777" w:rsidTr="000D07EC">
        <w:tc>
          <w:tcPr>
            <w:tcW w:w="4160" w:type="dxa"/>
          </w:tcPr>
          <w:p w14:paraId="29264A82"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lastRenderedPageBreak/>
              <w:t>Whole life cost over period of call-off</w:t>
            </w:r>
          </w:p>
        </w:tc>
        <w:tc>
          <w:tcPr>
            <w:tcW w:w="4136" w:type="dxa"/>
          </w:tcPr>
          <w:p w14:paraId="3D052755" w14:textId="77777777" w:rsidR="000D07EC" w:rsidRPr="000D07EC" w:rsidRDefault="000D07EC" w:rsidP="000D07EC">
            <w:pPr>
              <w:widowControl w:val="0"/>
              <w:adjustRightInd w:val="0"/>
              <w:spacing w:line="360" w:lineRule="atLeast"/>
              <w:jc w:val="center"/>
              <w:textAlignment w:val="baseline"/>
              <w:rPr>
                <w:rFonts w:asciiTheme="minorHAnsi" w:hAnsiTheme="minorHAnsi" w:cstheme="minorHAnsi"/>
                <w:sz w:val="24"/>
                <w:szCs w:val="24"/>
              </w:rPr>
            </w:pPr>
            <w:r w:rsidRPr="000D07EC">
              <w:rPr>
                <w:rFonts w:asciiTheme="minorHAnsi" w:hAnsiTheme="minorHAnsi" w:cstheme="minorHAnsi"/>
                <w:sz w:val="24"/>
                <w:szCs w:val="24"/>
              </w:rPr>
              <w:t>40%</w:t>
            </w:r>
          </w:p>
        </w:tc>
      </w:tr>
    </w:tbl>
    <w:p w14:paraId="7D866B1F" w14:textId="4058D017" w:rsidR="000D07EC" w:rsidRDefault="000D07EC" w:rsidP="0029513F">
      <w:pPr>
        <w:pStyle w:val="ListParagraph"/>
        <w:numPr>
          <w:ilvl w:val="1"/>
          <w:numId w:val="25"/>
        </w:numPr>
      </w:pPr>
      <w:r w:rsidRPr="000D07EC">
        <w:t xml:space="preserve">Customers may further sub-divide the above evaluation criteria provided they are transparent with their scoring of each of the questions. For example, a </w:t>
      </w:r>
      <w:r w:rsidR="002339B8" w:rsidRPr="000D07EC">
        <w:t>customer</w:t>
      </w:r>
      <w:r w:rsidRPr="000D07EC">
        <w:t xml:space="preserve"> may sub-divide the first element in the table above, “Ability to deliver the project, data migration and training within the specified timescales”, into three other aspects. Each aspect will have a question and a mark. The sum of those marks cannot exceed or be less than 30%. This will apply to each of the areas in the above table.</w:t>
      </w:r>
    </w:p>
    <w:p w14:paraId="53CCFBA5" w14:textId="77777777" w:rsidR="001F3B74" w:rsidRDefault="001F3B74" w:rsidP="0029513F">
      <w:pPr>
        <w:pStyle w:val="ListParagraph"/>
        <w:numPr>
          <w:ilvl w:val="1"/>
          <w:numId w:val="25"/>
        </w:numPr>
      </w:pPr>
      <w:r>
        <w:t>When conducting a further competition Customers are required to share:</w:t>
      </w:r>
    </w:p>
    <w:p w14:paraId="349C3C01" w14:textId="61C3ECF5" w:rsidR="001F3B74" w:rsidRDefault="001F3B74" w:rsidP="0029513F">
      <w:pPr>
        <w:pStyle w:val="ListParagraph"/>
        <w:numPr>
          <w:ilvl w:val="1"/>
          <w:numId w:val="25"/>
        </w:numPr>
      </w:pPr>
      <w:r>
        <w:t>a specification of their requirements</w:t>
      </w:r>
      <w:r w:rsidR="00310D77">
        <w:t xml:space="preserve">. </w:t>
      </w:r>
    </w:p>
    <w:p w14:paraId="406DFE03" w14:textId="74490BF3" w:rsidR="001F3B74" w:rsidRDefault="001F3B74" w:rsidP="0029513F">
      <w:pPr>
        <w:pStyle w:val="ListParagraph"/>
        <w:numPr>
          <w:ilvl w:val="1"/>
          <w:numId w:val="25"/>
        </w:numPr>
      </w:pPr>
      <w:r>
        <w:t xml:space="preserve">the call off contract with the inclusion of Schedule 9 – The </w:t>
      </w:r>
      <w:r w:rsidR="002339B8">
        <w:t>Guarantee if</w:t>
      </w:r>
      <w:r>
        <w:t xml:space="preserve"> one is required by the </w:t>
      </w:r>
      <w:r w:rsidR="002339B8">
        <w:t>customer.</w:t>
      </w:r>
    </w:p>
    <w:p w14:paraId="7958C150" w14:textId="3466566F" w:rsidR="001F3B74" w:rsidRDefault="001F3B74" w:rsidP="0029513F">
      <w:pPr>
        <w:pStyle w:val="ListParagraph"/>
        <w:numPr>
          <w:ilvl w:val="1"/>
          <w:numId w:val="25"/>
        </w:numPr>
      </w:pPr>
      <w:r>
        <w:t>Clear details of how you will evaluate the suppliers including a breakdown of all the weightings used.</w:t>
      </w:r>
    </w:p>
    <w:p w14:paraId="550EBB96" w14:textId="17765838" w:rsidR="00310D77" w:rsidRDefault="00310D77" w:rsidP="002339B8">
      <w:pPr>
        <w:pStyle w:val="ListParagraph"/>
        <w:numPr>
          <w:ilvl w:val="0"/>
          <w:numId w:val="26"/>
        </w:numPr>
      </w:pPr>
      <w:r>
        <w:t>Details of your indictive timescales for suppliers to send the responses, commissioners to evaluate them and a response send to suppliers.</w:t>
      </w:r>
    </w:p>
    <w:p w14:paraId="12E301B7" w14:textId="773801FA" w:rsidR="001F3B74" w:rsidRDefault="005A475D" w:rsidP="002339B8">
      <w:pPr>
        <w:pStyle w:val="ListParagraph"/>
        <w:numPr>
          <w:ilvl w:val="0"/>
          <w:numId w:val="26"/>
        </w:numPr>
      </w:pPr>
      <w:r>
        <w:t xml:space="preserve">Once you have evaluated all the suppliers who responded to your further </w:t>
      </w:r>
      <w:r w:rsidR="00310D77">
        <w:t>competition</w:t>
      </w:r>
      <w:r w:rsidR="00FF7254">
        <w:t>,</w:t>
      </w:r>
      <w:r w:rsidR="00310D77">
        <w:t xml:space="preserve"> </w:t>
      </w:r>
      <w:r w:rsidR="00C10BB8">
        <w:t>it is good practice to notify the</w:t>
      </w:r>
      <w:r>
        <w:t xml:space="preserve"> suppliers on if they have been successful or not. </w:t>
      </w:r>
    </w:p>
    <w:p w14:paraId="576B93C2" w14:textId="1A9382DF" w:rsidR="005A475D" w:rsidRDefault="005A475D" w:rsidP="002339B8">
      <w:pPr>
        <w:pStyle w:val="ListParagraph"/>
        <w:numPr>
          <w:ilvl w:val="0"/>
          <w:numId w:val="26"/>
        </w:numPr>
      </w:pPr>
      <w:r>
        <w:t xml:space="preserve">Once all suppliers have been notified the call off contract should be </w:t>
      </w:r>
      <w:r w:rsidR="00C10BB8">
        <w:t xml:space="preserve">completed </w:t>
      </w:r>
      <w:r>
        <w:t>sent to the successful supplier for signature. They will then return this document to yourselves to sign.</w:t>
      </w:r>
    </w:p>
    <w:p w14:paraId="13FA0288" w14:textId="280436CC" w:rsidR="00FF7254" w:rsidRDefault="00FF7254" w:rsidP="00FF7254">
      <w:pPr>
        <w:pStyle w:val="Heading2"/>
        <w:rPr>
          <w:sz w:val="32"/>
          <w:szCs w:val="32"/>
        </w:rPr>
      </w:pPr>
      <w:r>
        <w:rPr>
          <w:sz w:val="32"/>
          <w:szCs w:val="32"/>
        </w:rPr>
        <w:t xml:space="preserve">Suppliers </w:t>
      </w:r>
      <w:r w:rsidR="004B289A">
        <w:rPr>
          <w:sz w:val="32"/>
          <w:szCs w:val="32"/>
        </w:rPr>
        <w:t>Available Per Lot</w:t>
      </w:r>
      <w:r w:rsidRPr="008E65AE">
        <w:rPr>
          <w:sz w:val="32"/>
          <w:szCs w:val="32"/>
        </w:rPr>
        <w:t>:</w:t>
      </w:r>
    </w:p>
    <w:p w14:paraId="44B6E994" w14:textId="382BB8D2" w:rsidR="004B289A" w:rsidRDefault="004B289A" w:rsidP="004B289A"/>
    <w:tbl>
      <w:tblPr>
        <w:tblStyle w:val="TableGrid"/>
        <w:tblW w:w="0" w:type="auto"/>
        <w:tblLook w:val="04A0" w:firstRow="1" w:lastRow="0" w:firstColumn="1" w:lastColumn="0" w:noHBand="0" w:noVBand="1"/>
      </w:tblPr>
      <w:tblGrid>
        <w:gridCol w:w="1803"/>
        <w:gridCol w:w="1803"/>
        <w:gridCol w:w="1803"/>
        <w:gridCol w:w="1803"/>
        <w:gridCol w:w="1804"/>
      </w:tblGrid>
      <w:tr w:rsidR="004B289A" w:rsidRPr="004B289A" w14:paraId="4F4FD121" w14:textId="77777777" w:rsidTr="004B289A">
        <w:tc>
          <w:tcPr>
            <w:tcW w:w="1803" w:type="dxa"/>
          </w:tcPr>
          <w:p w14:paraId="31B51CFA" w14:textId="1B3E1213" w:rsidR="004B289A" w:rsidRPr="004B289A" w:rsidRDefault="004B289A" w:rsidP="00377C60">
            <w:pPr>
              <w:jc w:val="center"/>
              <w:rPr>
                <w:rFonts w:asciiTheme="majorHAnsi" w:hAnsiTheme="majorHAnsi"/>
                <w:b/>
                <w:bCs/>
                <w:sz w:val="22"/>
                <w:szCs w:val="22"/>
              </w:rPr>
            </w:pPr>
            <w:r w:rsidRPr="004B289A">
              <w:rPr>
                <w:rFonts w:asciiTheme="majorHAnsi" w:hAnsiTheme="majorHAnsi"/>
                <w:b/>
                <w:bCs/>
                <w:sz w:val="22"/>
                <w:szCs w:val="22"/>
              </w:rPr>
              <w:t>Supplier:</w:t>
            </w:r>
          </w:p>
        </w:tc>
        <w:tc>
          <w:tcPr>
            <w:tcW w:w="1803" w:type="dxa"/>
          </w:tcPr>
          <w:p w14:paraId="6F3BDA87" w14:textId="77777777" w:rsidR="00E23D35" w:rsidRDefault="00E23D35" w:rsidP="00E23D35">
            <w:pPr>
              <w:jc w:val="center"/>
              <w:rPr>
                <w:rFonts w:asciiTheme="majorHAnsi" w:hAnsiTheme="majorHAnsi"/>
                <w:b/>
                <w:bCs/>
                <w:sz w:val="22"/>
                <w:szCs w:val="22"/>
              </w:rPr>
            </w:pPr>
            <w:proofErr w:type="spellStart"/>
            <w:r>
              <w:rPr>
                <w:rFonts w:asciiTheme="majorHAnsi" w:hAnsiTheme="majorHAnsi"/>
                <w:b/>
                <w:bCs/>
                <w:sz w:val="22"/>
                <w:szCs w:val="22"/>
              </w:rPr>
              <w:t>Bromcom</w:t>
            </w:r>
            <w:proofErr w:type="spellEnd"/>
            <w:r>
              <w:rPr>
                <w:rFonts w:asciiTheme="majorHAnsi" w:hAnsiTheme="majorHAnsi"/>
                <w:b/>
                <w:bCs/>
                <w:sz w:val="22"/>
                <w:szCs w:val="22"/>
              </w:rPr>
              <w:t xml:space="preserve"> Computers PLC</w:t>
            </w:r>
          </w:p>
          <w:p w14:paraId="0C255F84" w14:textId="61A6A8CF" w:rsidR="00E23D35" w:rsidRPr="004B289A" w:rsidRDefault="00E23D35" w:rsidP="00E23D35">
            <w:pPr>
              <w:jc w:val="center"/>
              <w:rPr>
                <w:rFonts w:asciiTheme="majorHAnsi" w:hAnsiTheme="majorHAnsi"/>
                <w:b/>
                <w:bCs/>
                <w:sz w:val="22"/>
                <w:szCs w:val="22"/>
              </w:rPr>
            </w:pPr>
            <w:r>
              <w:rPr>
                <w:rFonts w:asciiTheme="majorHAnsi" w:hAnsiTheme="majorHAnsi"/>
                <w:b/>
                <w:bCs/>
                <w:sz w:val="22"/>
                <w:szCs w:val="22"/>
              </w:rPr>
              <w:t>“</w:t>
            </w:r>
            <w:proofErr w:type="spellStart"/>
            <w:r>
              <w:rPr>
                <w:rFonts w:asciiTheme="majorHAnsi" w:hAnsiTheme="majorHAnsi"/>
                <w:b/>
                <w:bCs/>
                <w:sz w:val="22"/>
                <w:szCs w:val="22"/>
              </w:rPr>
              <w:t>Bromcom</w:t>
            </w:r>
            <w:proofErr w:type="spellEnd"/>
            <w:r>
              <w:rPr>
                <w:rFonts w:asciiTheme="majorHAnsi" w:hAnsiTheme="majorHAnsi"/>
                <w:b/>
                <w:bCs/>
                <w:sz w:val="22"/>
                <w:szCs w:val="22"/>
              </w:rPr>
              <w:t xml:space="preserve"> MIS &amp; FAS”</w:t>
            </w:r>
          </w:p>
        </w:tc>
        <w:tc>
          <w:tcPr>
            <w:tcW w:w="1803" w:type="dxa"/>
          </w:tcPr>
          <w:p w14:paraId="7D11B62C" w14:textId="77777777" w:rsidR="00E23D35" w:rsidRDefault="00E23D35" w:rsidP="00E23D35">
            <w:pPr>
              <w:jc w:val="center"/>
              <w:rPr>
                <w:rFonts w:asciiTheme="majorHAnsi" w:hAnsiTheme="majorHAnsi"/>
                <w:b/>
                <w:bCs/>
                <w:sz w:val="22"/>
                <w:szCs w:val="22"/>
              </w:rPr>
            </w:pPr>
            <w:r>
              <w:rPr>
                <w:rFonts w:asciiTheme="majorHAnsi" w:hAnsiTheme="majorHAnsi"/>
                <w:b/>
                <w:bCs/>
                <w:sz w:val="22"/>
                <w:szCs w:val="22"/>
              </w:rPr>
              <w:t>Arbor Education Partners Group Ltd</w:t>
            </w:r>
          </w:p>
          <w:p w14:paraId="10CE0361" w14:textId="445593BA" w:rsidR="00E23D35" w:rsidRPr="004B289A" w:rsidRDefault="00E23D35" w:rsidP="00E23D35">
            <w:pPr>
              <w:jc w:val="center"/>
              <w:rPr>
                <w:rFonts w:asciiTheme="majorHAnsi" w:hAnsiTheme="majorHAnsi"/>
                <w:b/>
                <w:bCs/>
                <w:sz w:val="22"/>
                <w:szCs w:val="22"/>
              </w:rPr>
            </w:pPr>
            <w:r>
              <w:rPr>
                <w:rFonts w:asciiTheme="majorHAnsi" w:hAnsiTheme="majorHAnsi"/>
                <w:b/>
                <w:bCs/>
                <w:sz w:val="22"/>
                <w:szCs w:val="22"/>
              </w:rPr>
              <w:t>“Arbor MIS”</w:t>
            </w:r>
          </w:p>
        </w:tc>
        <w:tc>
          <w:tcPr>
            <w:tcW w:w="1803" w:type="dxa"/>
          </w:tcPr>
          <w:p w14:paraId="0B421913" w14:textId="77777777" w:rsidR="00E23D35" w:rsidRDefault="00E23D35" w:rsidP="00E23D35">
            <w:pPr>
              <w:jc w:val="center"/>
              <w:rPr>
                <w:rFonts w:asciiTheme="majorHAnsi" w:hAnsiTheme="majorHAnsi"/>
                <w:b/>
                <w:bCs/>
                <w:sz w:val="22"/>
                <w:szCs w:val="22"/>
              </w:rPr>
            </w:pPr>
            <w:r>
              <w:rPr>
                <w:rFonts w:asciiTheme="majorHAnsi" w:hAnsiTheme="majorHAnsi"/>
                <w:b/>
                <w:bCs/>
                <w:sz w:val="22"/>
                <w:szCs w:val="22"/>
              </w:rPr>
              <w:t>Histon House Ltd</w:t>
            </w:r>
          </w:p>
          <w:p w14:paraId="4A644B19" w14:textId="4BA2BB8B" w:rsidR="00E23D35" w:rsidRPr="004B289A" w:rsidRDefault="00E23D35" w:rsidP="00E23D35">
            <w:pPr>
              <w:jc w:val="center"/>
              <w:rPr>
                <w:rFonts w:asciiTheme="majorHAnsi" w:hAnsiTheme="majorHAnsi"/>
                <w:b/>
                <w:bCs/>
                <w:sz w:val="22"/>
                <w:szCs w:val="22"/>
              </w:rPr>
            </w:pPr>
            <w:r>
              <w:rPr>
                <w:rFonts w:asciiTheme="majorHAnsi" w:hAnsiTheme="majorHAnsi"/>
                <w:b/>
                <w:bCs/>
                <w:sz w:val="22"/>
                <w:szCs w:val="22"/>
              </w:rPr>
              <w:t>“</w:t>
            </w:r>
            <w:proofErr w:type="spellStart"/>
            <w:r>
              <w:rPr>
                <w:rFonts w:asciiTheme="majorHAnsi" w:hAnsiTheme="majorHAnsi"/>
                <w:b/>
                <w:bCs/>
                <w:sz w:val="22"/>
                <w:szCs w:val="22"/>
              </w:rPr>
              <w:t>ScholarPack</w:t>
            </w:r>
            <w:proofErr w:type="spellEnd"/>
            <w:r>
              <w:rPr>
                <w:rFonts w:asciiTheme="majorHAnsi" w:hAnsiTheme="majorHAnsi"/>
                <w:b/>
                <w:bCs/>
                <w:sz w:val="22"/>
                <w:szCs w:val="22"/>
              </w:rPr>
              <w:t xml:space="preserve"> MIS”</w:t>
            </w:r>
          </w:p>
        </w:tc>
        <w:tc>
          <w:tcPr>
            <w:tcW w:w="1804" w:type="dxa"/>
          </w:tcPr>
          <w:p w14:paraId="02F4F2CC" w14:textId="77777777" w:rsidR="004B289A" w:rsidRDefault="004B289A" w:rsidP="00E23D35">
            <w:pPr>
              <w:jc w:val="center"/>
              <w:rPr>
                <w:rFonts w:asciiTheme="majorHAnsi" w:hAnsiTheme="majorHAnsi"/>
                <w:b/>
                <w:bCs/>
                <w:sz w:val="22"/>
                <w:szCs w:val="22"/>
              </w:rPr>
            </w:pPr>
            <w:r w:rsidRPr="004B289A">
              <w:rPr>
                <w:rFonts w:asciiTheme="majorHAnsi" w:hAnsiTheme="majorHAnsi"/>
                <w:b/>
                <w:bCs/>
                <w:sz w:val="22"/>
                <w:szCs w:val="22"/>
              </w:rPr>
              <w:t>Schools Education</w:t>
            </w:r>
            <w:r w:rsidR="00E23D35">
              <w:rPr>
                <w:rFonts w:asciiTheme="majorHAnsi" w:hAnsiTheme="majorHAnsi"/>
                <w:b/>
                <w:bCs/>
                <w:sz w:val="22"/>
                <w:szCs w:val="22"/>
              </w:rPr>
              <w:t>al</w:t>
            </w:r>
            <w:r w:rsidRPr="004B289A">
              <w:rPr>
                <w:rFonts w:asciiTheme="majorHAnsi" w:hAnsiTheme="majorHAnsi"/>
                <w:b/>
                <w:bCs/>
                <w:sz w:val="22"/>
                <w:szCs w:val="22"/>
              </w:rPr>
              <w:t xml:space="preserve"> Software Ltd.</w:t>
            </w:r>
          </w:p>
          <w:p w14:paraId="04A1D407" w14:textId="50987856" w:rsidR="00E23D35" w:rsidRPr="004B289A" w:rsidRDefault="00E23D35" w:rsidP="00E23D35">
            <w:pPr>
              <w:jc w:val="center"/>
              <w:rPr>
                <w:rFonts w:asciiTheme="majorHAnsi" w:hAnsiTheme="majorHAnsi"/>
                <w:b/>
                <w:bCs/>
                <w:sz w:val="22"/>
                <w:szCs w:val="22"/>
              </w:rPr>
            </w:pPr>
            <w:r>
              <w:rPr>
                <w:rFonts w:asciiTheme="majorHAnsi" w:hAnsiTheme="majorHAnsi"/>
                <w:b/>
                <w:bCs/>
                <w:sz w:val="22"/>
                <w:szCs w:val="22"/>
              </w:rPr>
              <w:t>“Integris MIS -Arbor Finance FAS”</w:t>
            </w:r>
          </w:p>
        </w:tc>
      </w:tr>
      <w:tr w:rsidR="004B289A" w:rsidRPr="004B289A" w14:paraId="2FA997D7" w14:textId="77777777" w:rsidTr="004B289A">
        <w:tc>
          <w:tcPr>
            <w:tcW w:w="1803" w:type="dxa"/>
          </w:tcPr>
          <w:p w14:paraId="4416CEDB" w14:textId="5921FD18" w:rsidR="004B289A" w:rsidRPr="00377C60" w:rsidRDefault="004B289A" w:rsidP="00377C60">
            <w:pPr>
              <w:jc w:val="center"/>
              <w:rPr>
                <w:rFonts w:asciiTheme="majorHAnsi" w:hAnsiTheme="majorHAnsi"/>
                <w:b/>
                <w:bCs/>
              </w:rPr>
            </w:pPr>
            <w:r w:rsidRPr="00377C60">
              <w:rPr>
                <w:rFonts w:asciiTheme="majorHAnsi" w:hAnsiTheme="majorHAnsi"/>
                <w:b/>
                <w:bCs/>
              </w:rPr>
              <w:t>Lot 1</w:t>
            </w:r>
          </w:p>
        </w:tc>
        <w:tc>
          <w:tcPr>
            <w:tcW w:w="1803" w:type="dxa"/>
          </w:tcPr>
          <w:p w14:paraId="3A0A88AB" w14:textId="486412EE"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42370AB4" wp14:editId="6F673810">
                  <wp:extent cx="400050" cy="400050"/>
                  <wp:effectExtent l="0" t="0" r="0" b="0"/>
                  <wp:docPr id="6" name="Graphic 6"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4129CB2F" w14:textId="61E86B1D"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2C622768" wp14:editId="4C8E7B86">
                  <wp:extent cx="400050" cy="400050"/>
                  <wp:effectExtent l="0" t="0" r="0" b="0"/>
                  <wp:docPr id="18" name="Graphic 18"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7B64935A" w14:textId="4B47E535"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2030FAE5" wp14:editId="1215F877">
                  <wp:extent cx="400050" cy="400050"/>
                  <wp:effectExtent l="0" t="0" r="0" b="0"/>
                  <wp:docPr id="30" name="Graphic 30"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4" w:type="dxa"/>
          </w:tcPr>
          <w:p w14:paraId="5C75D642" w14:textId="04895864"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2410A46F" wp14:editId="2D810154">
                  <wp:extent cx="400050" cy="400050"/>
                  <wp:effectExtent l="0" t="0" r="0" b="0"/>
                  <wp:docPr id="22" name="Graphic 22"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146C7D35" w14:textId="77777777" w:rsidTr="004B289A">
        <w:tc>
          <w:tcPr>
            <w:tcW w:w="1803" w:type="dxa"/>
          </w:tcPr>
          <w:p w14:paraId="1832E23C" w14:textId="344D3AF5" w:rsidR="004B289A" w:rsidRPr="00377C60" w:rsidRDefault="004B289A" w:rsidP="00377C60">
            <w:pPr>
              <w:jc w:val="center"/>
              <w:rPr>
                <w:rFonts w:asciiTheme="majorHAnsi" w:hAnsiTheme="majorHAnsi"/>
                <w:b/>
                <w:bCs/>
              </w:rPr>
            </w:pPr>
            <w:r w:rsidRPr="00377C60">
              <w:rPr>
                <w:rFonts w:asciiTheme="majorHAnsi" w:hAnsiTheme="majorHAnsi"/>
                <w:b/>
                <w:bCs/>
              </w:rPr>
              <w:t>Lot 2</w:t>
            </w:r>
          </w:p>
        </w:tc>
        <w:tc>
          <w:tcPr>
            <w:tcW w:w="1803" w:type="dxa"/>
          </w:tcPr>
          <w:p w14:paraId="731DC414" w14:textId="63F0C06C"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2612EDB7" wp14:editId="3F365056">
                  <wp:extent cx="400050" cy="400050"/>
                  <wp:effectExtent l="0" t="0" r="0" b="0"/>
                  <wp:docPr id="7" name="Graphic 7"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57F81A84" w14:textId="4A19748F"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4D996173" wp14:editId="103C47E8">
                  <wp:extent cx="400050" cy="400050"/>
                  <wp:effectExtent l="0" t="0" r="0" b="0"/>
                  <wp:docPr id="19" name="Graphic 19"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641E1F7B" w14:textId="77777777" w:rsidR="004B289A" w:rsidRPr="004B289A" w:rsidRDefault="004B289A" w:rsidP="00E23D35">
            <w:pPr>
              <w:jc w:val="center"/>
              <w:rPr>
                <w:rFonts w:asciiTheme="majorHAnsi" w:hAnsiTheme="majorHAnsi"/>
              </w:rPr>
            </w:pPr>
          </w:p>
        </w:tc>
        <w:tc>
          <w:tcPr>
            <w:tcW w:w="1804" w:type="dxa"/>
          </w:tcPr>
          <w:p w14:paraId="72AA903E" w14:textId="4BEB5446"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1E0CD414" wp14:editId="6D30C427">
                  <wp:extent cx="400050" cy="400050"/>
                  <wp:effectExtent l="0" t="0" r="0" b="0"/>
                  <wp:docPr id="23" name="Graphic 23"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5D3DCA89" w14:textId="77777777" w:rsidTr="004B289A">
        <w:tc>
          <w:tcPr>
            <w:tcW w:w="1803" w:type="dxa"/>
          </w:tcPr>
          <w:p w14:paraId="210C1646" w14:textId="266082B4" w:rsidR="004B289A" w:rsidRPr="00377C60" w:rsidRDefault="004B289A" w:rsidP="00377C60">
            <w:pPr>
              <w:jc w:val="center"/>
              <w:rPr>
                <w:rFonts w:asciiTheme="majorHAnsi" w:hAnsiTheme="majorHAnsi"/>
                <w:b/>
                <w:bCs/>
              </w:rPr>
            </w:pPr>
            <w:r w:rsidRPr="00377C60">
              <w:rPr>
                <w:rFonts w:asciiTheme="majorHAnsi" w:hAnsiTheme="majorHAnsi"/>
                <w:b/>
                <w:bCs/>
              </w:rPr>
              <w:t>Lot 3</w:t>
            </w:r>
          </w:p>
        </w:tc>
        <w:tc>
          <w:tcPr>
            <w:tcW w:w="1803" w:type="dxa"/>
          </w:tcPr>
          <w:p w14:paraId="67BF41DC" w14:textId="61AC7FA6"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31A9DCD8" wp14:editId="5C8A26A1">
                  <wp:extent cx="400050" cy="400050"/>
                  <wp:effectExtent l="0" t="0" r="0" b="0"/>
                  <wp:docPr id="8" name="Graphic 8"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2F4E8B3C" w14:textId="707F7BD6"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65BEC5AA" wp14:editId="62B1ED96">
                  <wp:extent cx="400050" cy="400050"/>
                  <wp:effectExtent l="0" t="0" r="0" b="0"/>
                  <wp:docPr id="20" name="Graphic 20"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73404F5D" w14:textId="02B25064"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0DC2C8CC" wp14:editId="049E03FF">
                  <wp:extent cx="400050" cy="400050"/>
                  <wp:effectExtent l="0" t="0" r="0" b="0"/>
                  <wp:docPr id="31" name="Graphic 31"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4" w:type="dxa"/>
          </w:tcPr>
          <w:p w14:paraId="0531A96F" w14:textId="5BDE317A"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761D09C2" wp14:editId="530C3BA8">
                  <wp:extent cx="400050" cy="400050"/>
                  <wp:effectExtent l="0" t="0" r="0" b="0"/>
                  <wp:docPr id="24" name="Graphic 24"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2AB44AA2" w14:textId="77777777" w:rsidTr="004B289A">
        <w:tc>
          <w:tcPr>
            <w:tcW w:w="1803" w:type="dxa"/>
          </w:tcPr>
          <w:p w14:paraId="268FC0FD" w14:textId="1B30D7E2" w:rsidR="004B289A" w:rsidRPr="00377C60" w:rsidRDefault="004B289A" w:rsidP="00377C60">
            <w:pPr>
              <w:jc w:val="center"/>
              <w:rPr>
                <w:rFonts w:asciiTheme="majorHAnsi" w:hAnsiTheme="majorHAnsi"/>
                <w:b/>
                <w:bCs/>
              </w:rPr>
            </w:pPr>
            <w:r w:rsidRPr="00377C60">
              <w:rPr>
                <w:rFonts w:asciiTheme="majorHAnsi" w:hAnsiTheme="majorHAnsi"/>
                <w:b/>
                <w:bCs/>
              </w:rPr>
              <w:t>Lot 4</w:t>
            </w:r>
          </w:p>
        </w:tc>
        <w:tc>
          <w:tcPr>
            <w:tcW w:w="1803" w:type="dxa"/>
          </w:tcPr>
          <w:p w14:paraId="73EB6DDE" w14:textId="18985F6E"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2891D0B6" wp14:editId="7D00901C">
                  <wp:extent cx="400050" cy="400050"/>
                  <wp:effectExtent l="0" t="0" r="0" b="0"/>
                  <wp:docPr id="9" name="Graphic 9"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29E2D430" w14:textId="601ED2EB"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198E72E4" wp14:editId="08DA4F6D">
                  <wp:extent cx="400050" cy="400050"/>
                  <wp:effectExtent l="0" t="0" r="0" b="0"/>
                  <wp:docPr id="21" name="Graphic 21"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7DF2F6B2" w14:textId="77777777" w:rsidR="004B289A" w:rsidRPr="004B289A" w:rsidRDefault="004B289A" w:rsidP="00E23D35">
            <w:pPr>
              <w:jc w:val="center"/>
              <w:rPr>
                <w:rFonts w:asciiTheme="majorHAnsi" w:hAnsiTheme="majorHAnsi"/>
              </w:rPr>
            </w:pPr>
          </w:p>
        </w:tc>
        <w:tc>
          <w:tcPr>
            <w:tcW w:w="1804" w:type="dxa"/>
          </w:tcPr>
          <w:p w14:paraId="6CEF12E2" w14:textId="231E200F"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55C091F3" wp14:editId="57AC0173">
                  <wp:extent cx="400050" cy="400050"/>
                  <wp:effectExtent l="0" t="0" r="0" b="0"/>
                  <wp:docPr id="25" name="Graphic 25"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29039D9B" w14:textId="77777777" w:rsidTr="004B289A">
        <w:tc>
          <w:tcPr>
            <w:tcW w:w="1803" w:type="dxa"/>
          </w:tcPr>
          <w:p w14:paraId="619FFD4B" w14:textId="69E6B8EE" w:rsidR="004B289A" w:rsidRPr="00377C60" w:rsidRDefault="004B289A" w:rsidP="00377C60">
            <w:pPr>
              <w:jc w:val="center"/>
              <w:rPr>
                <w:rFonts w:asciiTheme="majorHAnsi" w:hAnsiTheme="majorHAnsi"/>
                <w:b/>
                <w:bCs/>
              </w:rPr>
            </w:pPr>
            <w:r w:rsidRPr="00377C60">
              <w:rPr>
                <w:rFonts w:asciiTheme="majorHAnsi" w:hAnsiTheme="majorHAnsi"/>
                <w:b/>
                <w:bCs/>
              </w:rPr>
              <w:t>Lot 5</w:t>
            </w:r>
          </w:p>
        </w:tc>
        <w:tc>
          <w:tcPr>
            <w:tcW w:w="1803" w:type="dxa"/>
          </w:tcPr>
          <w:p w14:paraId="51C51B49" w14:textId="59E8CD14"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531066C9" wp14:editId="374403CA">
                  <wp:extent cx="400050" cy="400050"/>
                  <wp:effectExtent l="0" t="0" r="0" b="0"/>
                  <wp:docPr id="10" name="Graphic 10"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11B48EB9" w14:textId="77777777" w:rsidR="004B289A" w:rsidRPr="004B289A" w:rsidRDefault="004B289A" w:rsidP="00E23D35">
            <w:pPr>
              <w:jc w:val="center"/>
              <w:rPr>
                <w:rFonts w:asciiTheme="majorHAnsi" w:hAnsiTheme="majorHAnsi"/>
              </w:rPr>
            </w:pPr>
          </w:p>
        </w:tc>
        <w:tc>
          <w:tcPr>
            <w:tcW w:w="1803" w:type="dxa"/>
          </w:tcPr>
          <w:p w14:paraId="56D40275" w14:textId="77777777" w:rsidR="004B289A" w:rsidRPr="004B289A" w:rsidRDefault="004B289A" w:rsidP="00E23D35">
            <w:pPr>
              <w:jc w:val="center"/>
              <w:rPr>
                <w:rFonts w:asciiTheme="majorHAnsi" w:hAnsiTheme="majorHAnsi"/>
              </w:rPr>
            </w:pPr>
          </w:p>
        </w:tc>
        <w:tc>
          <w:tcPr>
            <w:tcW w:w="1804" w:type="dxa"/>
          </w:tcPr>
          <w:p w14:paraId="1E6F25A3" w14:textId="539EAD77"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09718082" wp14:editId="625BA7A8">
                  <wp:extent cx="400050" cy="400050"/>
                  <wp:effectExtent l="0" t="0" r="0" b="0"/>
                  <wp:docPr id="26" name="Graphic 26"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42646B17" w14:textId="77777777" w:rsidTr="004B289A">
        <w:tc>
          <w:tcPr>
            <w:tcW w:w="1803" w:type="dxa"/>
          </w:tcPr>
          <w:p w14:paraId="0AC2106A" w14:textId="2DE6CE3E" w:rsidR="004B289A" w:rsidRPr="00377C60" w:rsidRDefault="004B289A" w:rsidP="00377C60">
            <w:pPr>
              <w:jc w:val="center"/>
              <w:rPr>
                <w:rFonts w:asciiTheme="majorHAnsi" w:hAnsiTheme="majorHAnsi"/>
                <w:b/>
                <w:bCs/>
              </w:rPr>
            </w:pPr>
            <w:r w:rsidRPr="00377C60">
              <w:rPr>
                <w:rFonts w:asciiTheme="majorHAnsi" w:hAnsiTheme="majorHAnsi"/>
                <w:b/>
                <w:bCs/>
              </w:rPr>
              <w:t>Lot 6</w:t>
            </w:r>
          </w:p>
        </w:tc>
        <w:tc>
          <w:tcPr>
            <w:tcW w:w="1803" w:type="dxa"/>
          </w:tcPr>
          <w:p w14:paraId="51FC6276" w14:textId="7FF86594"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775DEE2D" wp14:editId="698727A9">
                  <wp:extent cx="400050" cy="400050"/>
                  <wp:effectExtent l="0" t="0" r="0" b="0"/>
                  <wp:docPr id="11" name="Graphic 11"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5A5A2C4C" w14:textId="77777777" w:rsidR="004B289A" w:rsidRPr="004B289A" w:rsidRDefault="004B289A" w:rsidP="00E23D35">
            <w:pPr>
              <w:jc w:val="center"/>
              <w:rPr>
                <w:rFonts w:asciiTheme="majorHAnsi" w:hAnsiTheme="majorHAnsi"/>
              </w:rPr>
            </w:pPr>
          </w:p>
        </w:tc>
        <w:tc>
          <w:tcPr>
            <w:tcW w:w="1803" w:type="dxa"/>
          </w:tcPr>
          <w:p w14:paraId="50623ADF" w14:textId="77777777" w:rsidR="004B289A" w:rsidRPr="004B289A" w:rsidRDefault="004B289A" w:rsidP="00E23D35">
            <w:pPr>
              <w:jc w:val="center"/>
              <w:rPr>
                <w:rFonts w:asciiTheme="majorHAnsi" w:hAnsiTheme="majorHAnsi"/>
              </w:rPr>
            </w:pPr>
          </w:p>
        </w:tc>
        <w:tc>
          <w:tcPr>
            <w:tcW w:w="1804" w:type="dxa"/>
          </w:tcPr>
          <w:p w14:paraId="63795FFD" w14:textId="1ACAD222"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71EC26D5" wp14:editId="0B9ABA56">
                  <wp:extent cx="400050" cy="400050"/>
                  <wp:effectExtent l="0" t="0" r="0" b="0"/>
                  <wp:docPr id="27" name="Graphic 27"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7F7065CB" w14:textId="77777777" w:rsidTr="004B289A">
        <w:tc>
          <w:tcPr>
            <w:tcW w:w="1803" w:type="dxa"/>
          </w:tcPr>
          <w:p w14:paraId="216D26B3" w14:textId="4EEAD120" w:rsidR="004B289A" w:rsidRPr="00377C60" w:rsidRDefault="004B289A" w:rsidP="00377C60">
            <w:pPr>
              <w:jc w:val="center"/>
              <w:rPr>
                <w:rFonts w:asciiTheme="majorHAnsi" w:hAnsiTheme="majorHAnsi"/>
                <w:b/>
                <w:bCs/>
              </w:rPr>
            </w:pPr>
            <w:r w:rsidRPr="00377C60">
              <w:rPr>
                <w:rFonts w:asciiTheme="majorHAnsi" w:hAnsiTheme="majorHAnsi"/>
                <w:b/>
                <w:bCs/>
              </w:rPr>
              <w:t>Lot 7</w:t>
            </w:r>
          </w:p>
        </w:tc>
        <w:tc>
          <w:tcPr>
            <w:tcW w:w="1803" w:type="dxa"/>
          </w:tcPr>
          <w:p w14:paraId="73727698" w14:textId="2A16F15F"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4D369903" wp14:editId="4298D737">
                  <wp:extent cx="400050" cy="400050"/>
                  <wp:effectExtent l="0" t="0" r="0" b="0"/>
                  <wp:docPr id="12" name="Graphic 12"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093C8FB2" w14:textId="77777777" w:rsidR="004B289A" w:rsidRPr="004B289A" w:rsidRDefault="004B289A" w:rsidP="00E23D35">
            <w:pPr>
              <w:jc w:val="center"/>
              <w:rPr>
                <w:rFonts w:asciiTheme="majorHAnsi" w:hAnsiTheme="majorHAnsi"/>
              </w:rPr>
            </w:pPr>
          </w:p>
        </w:tc>
        <w:tc>
          <w:tcPr>
            <w:tcW w:w="1803" w:type="dxa"/>
          </w:tcPr>
          <w:p w14:paraId="7361577C" w14:textId="77777777" w:rsidR="004B289A" w:rsidRPr="004B289A" w:rsidRDefault="004B289A" w:rsidP="00E23D35">
            <w:pPr>
              <w:jc w:val="center"/>
              <w:rPr>
                <w:rFonts w:asciiTheme="majorHAnsi" w:hAnsiTheme="majorHAnsi"/>
              </w:rPr>
            </w:pPr>
          </w:p>
        </w:tc>
        <w:tc>
          <w:tcPr>
            <w:tcW w:w="1804" w:type="dxa"/>
          </w:tcPr>
          <w:p w14:paraId="7866163F" w14:textId="723FCF6D"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15057E3D" wp14:editId="0EC8A488">
                  <wp:extent cx="400050" cy="400050"/>
                  <wp:effectExtent l="0" t="0" r="0" b="0"/>
                  <wp:docPr id="28" name="Graphic 28"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4AFF49A6" w14:textId="77777777" w:rsidTr="004B289A">
        <w:tc>
          <w:tcPr>
            <w:tcW w:w="1803" w:type="dxa"/>
          </w:tcPr>
          <w:p w14:paraId="5C13E840" w14:textId="2165867A" w:rsidR="004B289A" w:rsidRPr="00377C60" w:rsidRDefault="004B289A" w:rsidP="00377C60">
            <w:pPr>
              <w:jc w:val="center"/>
              <w:rPr>
                <w:rFonts w:asciiTheme="majorHAnsi" w:hAnsiTheme="majorHAnsi"/>
                <w:b/>
                <w:bCs/>
              </w:rPr>
            </w:pPr>
            <w:r w:rsidRPr="00377C60">
              <w:rPr>
                <w:rFonts w:asciiTheme="majorHAnsi" w:hAnsiTheme="majorHAnsi"/>
                <w:b/>
                <w:bCs/>
              </w:rPr>
              <w:lastRenderedPageBreak/>
              <w:t>Lot 8</w:t>
            </w:r>
          </w:p>
        </w:tc>
        <w:tc>
          <w:tcPr>
            <w:tcW w:w="1803" w:type="dxa"/>
          </w:tcPr>
          <w:p w14:paraId="02C1D20B" w14:textId="1B34C868"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52F8F5FA" wp14:editId="34015A80">
                  <wp:extent cx="400050" cy="400050"/>
                  <wp:effectExtent l="0" t="0" r="0" b="0"/>
                  <wp:docPr id="13" name="Graphic 13"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60A3ADF6" w14:textId="77777777" w:rsidR="004B289A" w:rsidRPr="004B289A" w:rsidRDefault="004B289A" w:rsidP="00E23D35">
            <w:pPr>
              <w:jc w:val="center"/>
              <w:rPr>
                <w:rFonts w:asciiTheme="majorHAnsi" w:hAnsiTheme="majorHAnsi"/>
              </w:rPr>
            </w:pPr>
          </w:p>
        </w:tc>
        <w:tc>
          <w:tcPr>
            <w:tcW w:w="1803" w:type="dxa"/>
          </w:tcPr>
          <w:p w14:paraId="02559888" w14:textId="77777777" w:rsidR="004B289A" w:rsidRPr="004B289A" w:rsidRDefault="004B289A" w:rsidP="00E23D35">
            <w:pPr>
              <w:jc w:val="center"/>
              <w:rPr>
                <w:rFonts w:asciiTheme="majorHAnsi" w:hAnsiTheme="majorHAnsi"/>
              </w:rPr>
            </w:pPr>
          </w:p>
        </w:tc>
        <w:tc>
          <w:tcPr>
            <w:tcW w:w="1804" w:type="dxa"/>
          </w:tcPr>
          <w:p w14:paraId="28C93B93" w14:textId="1C057A71"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1936FBB9" wp14:editId="6D63A44C">
                  <wp:extent cx="400050" cy="400050"/>
                  <wp:effectExtent l="0" t="0" r="0" b="0"/>
                  <wp:docPr id="29" name="Graphic 29"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r>
      <w:tr w:rsidR="004B289A" w:rsidRPr="004B289A" w14:paraId="61BAABB2" w14:textId="77777777" w:rsidTr="004B289A">
        <w:tc>
          <w:tcPr>
            <w:tcW w:w="1803" w:type="dxa"/>
          </w:tcPr>
          <w:p w14:paraId="0BB02CBB" w14:textId="4EE4C598" w:rsidR="004B289A" w:rsidRPr="00377C60" w:rsidRDefault="004B289A" w:rsidP="00377C60">
            <w:pPr>
              <w:jc w:val="center"/>
              <w:rPr>
                <w:rFonts w:asciiTheme="majorHAnsi" w:hAnsiTheme="majorHAnsi"/>
                <w:b/>
                <w:bCs/>
              </w:rPr>
            </w:pPr>
            <w:r w:rsidRPr="00377C60">
              <w:rPr>
                <w:rFonts w:asciiTheme="majorHAnsi" w:hAnsiTheme="majorHAnsi"/>
                <w:b/>
                <w:bCs/>
              </w:rPr>
              <w:t>Lot 9</w:t>
            </w:r>
          </w:p>
        </w:tc>
        <w:tc>
          <w:tcPr>
            <w:tcW w:w="1803" w:type="dxa"/>
          </w:tcPr>
          <w:p w14:paraId="00B0B676" w14:textId="2177D3D4"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0D063E37" wp14:editId="438D816C">
                  <wp:extent cx="400050" cy="400050"/>
                  <wp:effectExtent l="0" t="0" r="0" b="0"/>
                  <wp:docPr id="14" name="Graphic 14"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16548D02" w14:textId="77777777" w:rsidR="004B289A" w:rsidRPr="004B289A" w:rsidRDefault="004B289A" w:rsidP="00E23D35">
            <w:pPr>
              <w:jc w:val="center"/>
              <w:rPr>
                <w:rFonts w:asciiTheme="majorHAnsi" w:hAnsiTheme="majorHAnsi"/>
              </w:rPr>
            </w:pPr>
          </w:p>
        </w:tc>
        <w:tc>
          <w:tcPr>
            <w:tcW w:w="1803" w:type="dxa"/>
          </w:tcPr>
          <w:p w14:paraId="44B24BC9" w14:textId="77777777" w:rsidR="004B289A" w:rsidRPr="004B289A" w:rsidRDefault="004B289A" w:rsidP="00E23D35">
            <w:pPr>
              <w:jc w:val="center"/>
              <w:rPr>
                <w:rFonts w:asciiTheme="majorHAnsi" w:hAnsiTheme="majorHAnsi"/>
              </w:rPr>
            </w:pPr>
          </w:p>
        </w:tc>
        <w:tc>
          <w:tcPr>
            <w:tcW w:w="1804" w:type="dxa"/>
          </w:tcPr>
          <w:p w14:paraId="07123CFF" w14:textId="77777777" w:rsidR="004B289A" w:rsidRPr="004B289A" w:rsidRDefault="004B289A" w:rsidP="00E23D35">
            <w:pPr>
              <w:jc w:val="center"/>
              <w:rPr>
                <w:rFonts w:asciiTheme="majorHAnsi" w:hAnsiTheme="majorHAnsi"/>
              </w:rPr>
            </w:pPr>
          </w:p>
        </w:tc>
      </w:tr>
      <w:tr w:rsidR="004B289A" w:rsidRPr="004B289A" w14:paraId="4ACBAC41" w14:textId="77777777" w:rsidTr="004B289A">
        <w:tc>
          <w:tcPr>
            <w:tcW w:w="1803" w:type="dxa"/>
          </w:tcPr>
          <w:p w14:paraId="3E197580" w14:textId="1561B9E2" w:rsidR="004B289A" w:rsidRPr="00377C60" w:rsidRDefault="004B289A" w:rsidP="00377C60">
            <w:pPr>
              <w:jc w:val="center"/>
              <w:rPr>
                <w:rFonts w:asciiTheme="majorHAnsi" w:hAnsiTheme="majorHAnsi"/>
                <w:b/>
                <w:bCs/>
              </w:rPr>
            </w:pPr>
            <w:r w:rsidRPr="00377C60">
              <w:rPr>
                <w:rFonts w:asciiTheme="majorHAnsi" w:hAnsiTheme="majorHAnsi"/>
                <w:b/>
                <w:bCs/>
              </w:rPr>
              <w:t>Lot 10</w:t>
            </w:r>
          </w:p>
        </w:tc>
        <w:tc>
          <w:tcPr>
            <w:tcW w:w="1803" w:type="dxa"/>
          </w:tcPr>
          <w:p w14:paraId="71BD7CAC" w14:textId="5558A3DA"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4492CC4B" wp14:editId="4EB43AE1">
                  <wp:extent cx="400050" cy="400050"/>
                  <wp:effectExtent l="0" t="0" r="0" b="0"/>
                  <wp:docPr id="15" name="Graphic 15"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0D64D623" w14:textId="77777777" w:rsidR="004B289A" w:rsidRPr="004B289A" w:rsidRDefault="004B289A" w:rsidP="00E23D35">
            <w:pPr>
              <w:jc w:val="center"/>
              <w:rPr>
                <w:rFonts w:asciiTheme="majorHAnsi" w:hAnsiTheme="majorHAnsi"/>
              </w:rPr>
            </w:pPr>
          </w:p>
        </w:tc>
        <w:tc>
          <w:tcPr>
            <w:tcW w:w="1803" w:type="dxa"/>
          </w:tcPr>
          <w:p w14:paraId="7077B5BC" w14:textId="77777777" w:rsidR="004B289A" w:rsidRPr="004B289A" w:rsidRDefault="004B289A" w:rsidP="00E23D35">
            <w:pPr>
              <w:jc w:val="center"/>
              <w:rPr>
                <w:rFonts w:asciiTheme="majorHAnsi" w:hAnsiTheme="majorHAnsi"/>
              </w:rPr>
            </w:pPr>
          </w:p>
        </w:tc>
        <w:tc>
          <w:tcPr>
            <w:tcW w:w="1804" w:type="dxa"/>
          </w:tcPr>
          <w:p w14:paraId="3B83CFE7" w14:textId="77777777" w:rsidR="004B289A" w:rsidRPr="004B289A" w:rsidRDefault="004B289A" w:rsidP="00E23D35">
            <w:pPr>
              <w:jc w:val="center"/>
              <w:rPr>
                <w:rFonts w:asciiTheme="majorHAnsi" w:hAnsiTheme="majorHAnsi"/>
              </w:rPr>
            </w:pPr>
          </w:p>
        </w:tc>
      </w:tr>
      <w:tr w:rsidR="004B289A" w:rsidRPr="004B289A" w14:paraId="673B9F44" w14:textId="77777777" w:rsidTr="004B289A">
        <w:tc>
          <w:tcPr>
            <w:tcW w:w="1803" w:type="dxa"/>
          </w:tcPr>
          <w:p w14:paraId="1F4E6038" w14:textId="2C731364" w:rsidR="004B289A" w:rsidRPr="00377C60" w:rsidRDefault="004B289A" w:rsidP="00377C60">
            <w:pPr>
              <w:jc w:val="center"/>
              <w:rPr>
                <w:rFonts w:asciiTheme="majorHAnsi" w:hAnsiTheme="majorHAnsi"/>
                <w:b/>
                <w:bCs/>
              </w:rPr>
            </w:pPr>
            <w:r w:rsidRPr="00377C60">
              <w:rPr>
                <w:rFonts w:asciiTheme="majorHAnsi" w:hAnsiTheme="majorHAnsi"/>
                <w:b/>
                <w:bCs/>
              </w:rPr>
              <w:t>Lot 11</w:t>
            </w:r>
          </w:p>
        </w:tc>
        <w:tc>
          <w:tcPr>
            <w:tcW w:w="1803" w:type="dxa"/>
          </w:tcPr>
          <w:p w14:paraId="1CCDFA2F" w14:textId="21BE0032"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111A3BE9" wp14:editId="36791789">
                  <wp:extent cx="400050" cy="400050"/>
                  <wp:effectExtent l="0" t="0" r="0" b="0"/>
                  <wp:docPr id="16" name="Graphic 16"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250390E4" w14:textId="77777777" w:rsidR="004B289A" w:rsidRPr="004B289A" w:rsidRDefault="004B289A" w:rsidP="00E23D35">
            <w:pPr>
              <w:jc w:val="center"/>
              <w:rPr>
                <w:rFonts w:asciiTheme="majorHAnsi" w:hAnsiTheme="majorHAnsi"/>
              </w:rPr>
            </w:pPr>
          </w:p>
        </w:tc>
        <w:tc>
          <w:tcPr>
            <w:tcW w:w="1803" w:type="dxa"/>
          </w:tcPr>
          <w:p w14:paraId="14DA3251" w14:textId="77777777" w:rsidR="004B289A" w:rsidRPr="004B289A" w:rsidRDefault="004B289A" w:rsidP="00E23D35">
            <w:pPr>
              <w:jc w:val="center"/>
              <w:rPr>
                <w:rFonts w:asciiTheme="majorHAnsi" w:hAnsiTheme="majorHAnsi"/>
              </w:rPr>
            </w:pPr>
          </w:p>
        </w:tc>
        <w:tc>
          <w:tcPr>
            <w:tcW w:w="1804" w:type="dxa"/>
          </w:tcPr>
          <w:p w14:paraId="11C90118" w14:textId="77777777" w:rsidR="004B289A" w:rsidRPr="004B289A" w:rsidRDefault="004B289A" w:rsidP="00E23D35">
            <w:pPr>
              <w:jc w:val="center"/>
              <w:rPr>
                <w:rFonts w:asciiTheme="majorHAnsi" w:hAnsiTheme="majorHAnsi"/>
              </w:rPr>
            </w:pPr>
          </w:p>
        </w:tc>
      </w:tr>
      <w:tr w:rsidR="004B289A" w:rsidRPr="004B289A" w14:paraId="0C3E40CE" w14:textId="77777777" w:rsidTr="004B289A">
        <w:tc>
          <w:tcPr>
            <w:tcW w:w="1803" w:type="dxa"/>
          </w:tcPr>
          <w:p w14:paraId="418B4DFB" w14:textId="73DED351" w:rsidR="004B289A" w:rsidRPr="00377C60" w:rsidRDefault="004B289A" w:rsidP="00377C60">
            <w:pPr>
              <w:jc w:val="center"/>
              <w:rPr>
                <w:rFonts w:asciiTheme="majorHAnsi" w:hAnsiTheme="majorHAnsi"/>
                <w:b/>
                <w:bCs/>
              </w:rPr>
            </w:pPr>
            <w:r w:rsidRPr="00377C60">
              <w:rPr>
                <w:rFonts w:asciiTheme="majorHAnsi" w:hAnsiTheme="majorHAnsi"/>
                <w:b/>
                <w:bCs/>
              </w:rPr>
              <w:t>Lot 12</w:t>
            </w:r>
          </w:p>
        </w:tc>
        <w:tc>
          <w:tcPr>
            <w:tcW w:w="1803" w:type="dxa"/>
          </w:tcPr>
          <w:p w14:paraId="183B5ABF" w14:textId="07C74165" w:rsidR="004B289A" w:rsidRPr="004B289A" w:rsidRDefault="004B289A" w:rsidP="00E23D35">
            <w:pPr>
              <w:jc w:val="center"/>
              <w:rPr>
                <w:rFonts w:asciiTheme="majorHAnsi" w:hAnsiTheme="majorHAnsi"/>
              </w:rPr>
            </w:pPr>
            <w:r w:rsidRPr="004B289A">
              <w:rPr>
                <w:rFonts w:asciiTheme="majorHAnsi" w:hAnsiTheme="majorHAnsi"/>
                <w:noProof/>
              </w:rPr>
              <w:drawing>
                <wp:inline distT="0" distB="0" distL="0" distR="0" wp14:anchorId="02246E4D" wp14:editId="4AA832B3">
                  <wp:extent cx="400050" cy="400050"/>
                  <wp:effectExtent l="0" t="0" r="0" b="0"/>
                  <wp:docPr id="17" name="Graphic 17" descr="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i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p>
        </w:tc>
        <w:tc>
          <w:tcPr>
            <w:tcW w:w="1803" w:type="dxa"/>
          </w:tcPr>
          <w:p w14:paraId="38150C95" w14:textId="77777777" w:rsidR="004B289A" w:rsidRPr="004B289A" w:rsidRDefault="004B289A" w:rsidP="00E23D35">
            <w:pPr>
              <w:jc w:val="center"/>
              <w:rPr>
                <w:rFonts w:asciiTheme="majorHAnsi" w:hAnsiTheme="majorHAnsi"/>
              </w:rPr>
            </w:pPr>
          </w:p>
        </w:tc>
        <w:tc>
          <w:tcPr>
            <w:tcW w:w="1803" w:type="dxa"/>
          </w:tcPr>
          <w:p w14:paraId="1A9076A4" w14:textId="77777777" w:rsidR="004B289A" w:rsidRPr="004B289A" w:rsidRDefault="004B289A" w:rsidP="00E23D35">
            <w:pPr>
              <w:jc w:val="center"/>
              <w:rPr>
                <w:rFonts w:asciiTheme="majorHAnsi" w:hAnsiTheme="majorHAnsi"/>
              </w:rPr>
            </w:pPr>
          </w:p>
        </w:tc>
        <w:tc>
          <w:tcPr>
            <w:tcW w:w="1804" w:type="dxa"/>
          </w:tcPr>
          <w:p w14:paraId="33242222" w14:textId="77777777" w:rsidR="004B289A" w:rsidRPr="004B289A" w:rsidRDefault="004B289A" w:rsidP="00E23D35">
            <w:pPr>
              <w:jc w:val="center"/>
              <w:rPr>
                <w:rFonts w:asciiTheme="majorHAnsi" w:hAnsiTheme="majorHAnsi"/>
              </w:rPr>
            </w:pPr>
          </w:p>
        </w:tc>
      </w:tr>
    </w:tbl>
    <w:p w14:paraId="15F18727" w14:textId="563CEAD9" w:rsidR="00C10BB8" w:rsidRDefault="00C10BB8" w:rsidP="0076347B">
      <w:pPr>
        <w:pStyle w:val="Heading2"/>
        <w:rPr>
          <w:sz w:val="32"/>
          <w:szCs w:val="32"/>
        </w:rPr>
      </w:pPr>
    </w:p>
    <w:p w14:paraId="7AAA1DF9" w14:textId="304A059F" w:rsidR="00C10BB8" w:rsidRPr="00C10BB8" w:rsidRDefault="00C10BB8" w:rsidP="00C10BB8">
      <w:r>
        <w:t>Below are the quality scores, which should be carried through.</w:t>
      </w:r>
      <w:r w:rsidR="00E23D35">
        <w:t xml:space="preserve"> Please see Appendix 1</w:t>
      </w:r>
    </w:p>
    <w:p w14:paraId="29520490" w14:textId="6DDAB1C4" w:rsidR="0076347B" w:rsidRDefault="0076347B" w:rsidP="0076347B">
      <w:pPr>
        <w:pStyle w:val="Heading2"/>
        <w:rPr>
          <w:sz w:val="32"/>
          <w:szCs w:val="32"/>
        </w:rPr>
      </w:pPr>
      <w:r>
        <w:rPr>
          <w:sz w:val="32"/>
          <w:szCs w:val="32"/>
        </w:rPr>
        <w:t>Benefits of using a framework</w:t>
      </w:r>
      <w:r w:rsidRPr="008E65AE">
        <w:rPr>
          <w:sz w:val="32"/>
          <w:szCs w:val="32"/>
        </w:rPr>
        <w:t>:</w:t>
      </w:r>
    </w:p>
    <w:p w14:paraId="14F22E1F" w14:textId="29E02A3D" w:rsidR="0076347B" w:rsidRDefault="0076347B" w:rsidP="0076347B"/>
    <w:p w14:paraId="17C12ADF" w14:textId="31BABCDE" w:rsidR="0076347B" w:rsidRDefault="0076347B" w:rsidP="0076347B">
      <w:r>
        <w:t xml:space="preserve">All our suppliers have been pre-qualified for use within your establishment therefore, you have a </w:t>
      </w:r>
      <w:r w:rsidR="003110CB">
        <w:t>guarantee</w:t>
      </w:r>
      <w:r>
        <w:t xml:space="preserve"> that suppliers are all: </w:t>
      </w:r>
    </w:p>
    <w:p w14:paraId="4A647E01" w14:textId="0C42DB7C" w:rsidR="0076347B" w:rsidRDefault="0076347B" w:rsidP="0076347B"/>
    <w:p w14:paraId="7BEAE5D5" w14:textId="71E77513" w:rsidR="0076347B" w:rsidRDefault="0076347B" w:rsidP="0076347B">
      <w:pPr>
        <w:pStyle w:val="ListParagraph"/>
        <w:numPr>
          <w:ilvl w:val="0"/>
          <w:numId w:val="11"/>
        </w:numPr>
      </w:pPr>
      <w:r>
        <w:t xml:space="preserve">Systems will work fully on at least one of the following operating systems: Windows, Android, MAC OS and Chrome. </w:t>
      </w:r>
    </w:p>
    <w:p w14:paraId="5783583B" w14:textId="6CF4C3FA" w:rsidR="0076347B" w:rsidRDefault="0076347B" w:rsidP="0076347B">
      <w:pPr>
        <w:pStyle w:val="ListParagraph"/>
        <w:numPr>
          <w:ilvl w:val="0"/>
          <w:numId w:val="11"/>
        </w:numPr>
      </w:pPr>
      <w:r>
        <w:t>MIS Lots will allow customers to turn off API integration.</w:t>
      </w:r>
    </w:p>
    <w:p w14:paraId="050F445C" w14:textId="493B95BC" w:rsidR="0076347B" w:rsidRDefault="0076347B" w:rsidP="0076347B">
      <w:pPr>
        <w:pStyle w:val="ListParagraph"/>
        <w:numPr>
          <w:ilvl w:val="0"/>
          <w:numId w:val="11"/>
        </w:numPr>
      </w:pPr>
      <w:r>
        <w:t xml:space="preserve">All upgrades are included within the initial pricing, this includes both bug fixes </w:t>
      </w:r>
      <w:r w:rsidR="003110CB">
        <w:t>and standard upgrades.</w:t>
      </w:r>
    </w:p>
    <w:p w14:paraId="0DEC39B9" w14:textId="01F121E8" w:rsidR="003110CB" w:rsidRDefault="003110CB" w:rsidP="0076347B">
      <w:pPr>
        <w:pStyle w:val="ListParagraph"/>
        <w:numPr>
          <w:ilvl w:val="0"/>
          <w:numId w:val="11"/>
        </w:numPr>
      </w:pPr>
      <w:r>
        <w:t>FAS lots allow all</w:t>
      </w:r>
      <w:r w:rsidRPr="003110CB">
        <w:t xml:space="preserve"> reports </w:t>
      </w:r>
      <w:r>
        <w:t>to</w:t>
      </w:r>
      <w:r w:rsidRPr="003110CB">
        <w:t xml:space="preserve"> be exported to Excel in ‘raw’ (e.g. CSV)</w:t>
      </w:r>
      <w:r>
        <w:t>.</w:t>
      </w:r>
    </w:p>
    <w:p w14:paraId="1AAE810C" w14:textId="5C6AC4BD" w:rsidR="003110CB" w:rsidRDefault="00C10BB8" w:rsidP="0076347B">
      <w:pPr>
        <w:pStyle w:val="ListParagraph"/>
        <w:numPr>
          <w:ilvl w:val="0"/>
          <w:numId w:val="11"/>
        </w:numPr>
      </w:pPr>
      <w:r>
        <w:t>The Framework has been procured compliantly under the relevant public procurement legislation to support a reduction in your procurement timescales and reduce the risk within your organisation.</w:t>
      </w:r>
    </w:p>
    <w:p w14:paraId="27B87B3D" w14:textId="66FEB4B1" w:rsidR="003110CB" w:rsidRPr="0076347B" w:rsidRDefault="003110CB" w:rsidP="0076347B">
      <w:pPr>
        <w:pStyle w:val="ListParagraph"/>
        <w:numPr>
          <w:ilvl w:val="0"/>
          <w:numId w:val="11"/>
        </w:numPr>
      </w:pPr>
      <w:r>
        <w:t xml:space="preserve">All </w:t>
      </w:r>
      <w:r w:rsidR="00C10BB8">
        <w:t>terms have been drafted with public sector organisations requirement in mind and have been pre-agreed with the suppliers.</w:t>
      </w:r>
    </w:p>
    <w:p w14:paraId="005E12E8" w14:textId="77777777" w:rsidR="004B289A" w:rsidRPr="004B289A" w:rsidRDefault="004B289A" w:rsidP="004B289A"/>
    <w:p w14:paraId="158502D2" w14:textId="77777777" w:rsidR="00FF7254" w:rsidRDefault="00FF7254" w:rsidP="00FF7254"/>
    <w:p w14:paraId="01E82C9C" w14:textId="77777777" w:rsidR="00E2514E" w:rsidRDefault="00E2514E" w:rsidP="00FF7254"/>
    <w:p w14:paraId="0AE9F624" w14:textId="77777777" w:rsidR="00E2514E" w:rsidRDefault="00E2514E" w:rsidP="00FF7254"/>
    <w:p w14:paraId="78BFBE4B" w14:textId="77777777" w:rsidR="00E2514E" w:rsidRDefault="00E2514E" w:rsidP="00FF7254"/>
    <w:p w14:paraId="655DC066" w14:textId="77777777" w:rsidR="00532F57" w:rsidRDefault="00532F57" w:rsidP="00FF7254"/>
    <w:p w14:paraId="30B7E6E1" w14:textId="77777777" w:rsidR="00532F57" w:rsidRDefault="00532F57" w:rsidP="00FF7254"/>
    <w:p w14:paraId="2D44F3A9" w14:textId="77777777" w:rsidR="00E2514E" w:rsidRDefault="00E2514E" w:rsidP="00FF7254"/>
    <w:p w14:paraId="5E0A230F" w14:textId="77777777" w:rsidR="00E2514E" w:rsidRDefault="00E2514E" w:rsidP="00FF7254"/>
    <w:p w14:paraId="3EE02A96" w14:textId="77777777" w:rsidR="00E2514E" w:rsidRDefault="00E2514E" w:rsidP="00FF7254"/>
    <w:p w14:paraId="260EAF13" w14:textId="77777777" w:rsidR="00E2514E" w:rsidRPr="00E2514E" w:rsidRDefault="00E2514E" w:rsidP="00E2514E">
      <w:pPr>
        <w:rPr>
          <w:b/>
          <w:bCs/>
          <w:kern w:val="2"/>
          <w:u w:val="single"/>
          <w14:ligatures w14:val="standardContextual"/>
        </w:rPr>
      </w:pPr>
      <w:r w:rsidRPr="00E2514E">
        <w:rPr>
          <w:b/>
          <w:bCs/>
          <w:kern w:val="2"/>
          <w:u w:val="single"/>
          <w14:ligatures w14:val="standardContextual"/>
        </w:rPr>
        <w:lastRenderedPageBreak/>
        <w:t>Appendix 1 – Quality Scores for use within mini competitions.</w:t>
      </w:r>
    </w:p>
    <w:p w14:paraId="1C5F345C" w14:textId="77777777" w:rsidR="00E2514E" w:rsidRPr="00E2514E" w:rsidRDefault="00E2514E" w:rsidP="00E2514E">
      <w:pPr>
        <w:rPr>
          <w:kern w:val="2"/>
          <w14:ligatures w14:val="standardContextual"/>
        </w:rPr>
      </w:pPr>
      <w:r w:rsidRPr="00E2514E">
        <w:rPr>
          <w:kern w:val="2"/>
          <w14:ligatures w14:val="standardContextual"/>
        </w:rPr>
        <w:t xml:space="preserve">The below should be used in conjunction with all the call off criteria provided in the table below. Every supplier on the customers chosen lot should be invited to complete a mini competition based on the below criteria. </w:t>
      </w:r>
    </w:p>
    <w:tbl>
      <w:tblPr>
        <w:tblStyle w:val="TableGrid1"/>
        <w:tblW w:w="0" w:type="auto"/>
        <w:tblInd w:w="720" w:type="dxa"/>
        <w:tblLook w:val="04A0" w:firstRow="1" w:lastRow="0" w:firstColumn="1" w:lastColumn="0" w:noHBand="0" w:noVBand="1"/>
      </w:tblPr>
      <w:tblGrid>
        <w:gridCol w:w="4200"/>
        <w:gridCol w:w="4096"/>
      </w:tblGrid>
      <w:tr w:rsidR="00E2514E" w:rsidRPr="00E2514E" w14:paraId="38F75945" w14:textId="77777777" w:rsidTr="00A02465">
        <w:tc>
          <w:tcPr>
            <w:tcW w:w="4508" w:type="dxa"/>
          </w:tcPr>
          <w:p w14:paraId="0B6879B4" w14:textId="77777777" w:rsidR="00E2514E" w:rsidRPr="00E2514E" w:rsidRDefault="00E2514E" w:rsidP="00E2514E">
            <w:pPr>
              <w:widowControl w:val="0"/>
              <w:adjustRightInd w:val="0"/>
              <w:spacing w:line="360" w:lineRule="atLeast"/>
              <w:jc w:val="center"/>
              <w:textAlignment w:val="baseline"/>
              <w:rPr>
                <w:rFonts w:cstheme="minorHAnsi"/>
                <w:b/>
              </w:rPr>
            </w:pPr>
            <w:r w:rsidRPr="00E2514E">
              <w:rPr>
                <w:rFonts w:cstheme="minorHAnsi"/>
                <w:b/>
              </w:rPr>
              <w:t>Criteria</w:t>
            </w:r>
          </w:p>
        </w:tc>
        <w:tc>
          <w:tcPr>
            <w:tcW w:w="4508" w:type="dxa"/>
          </w:tcPr>
          <w:p w14:paraId="42119E6B" w14:textId="77777777" w:rsidR="00E2514E" w:rsidRPr="00E2514E" w:rsidRDefault="00E2514E" w:rsidP="00E2514E">
            <w:pPr>
              <w:widowControl w:val="0"/>
              <w:adjustRightInd w:val="0"/>
              <w:spacing w:line="360" w:lineRule="atLeast"/>
              <w:jc w:val="center"/>
              <w:textAlignment w:val="baseline"/>
              <w:rPr>
                <w:rFonts w:cstheme="minorHAnsi"/>
                <w:b/>
              </w:rPr>
            </w:pPr>
            <w:r w:rsidRPr="00E2514E">
              <w:rPr>
                <w:rFonts w:cstheme="minorHAnsi"/>
                <w:b/>
              </w:rPr>
              <w:t>Weighting</w:t>
            </w:r>
          </w:p>
        </w:tc>
      </w:tr>
      <w:tr w:rsidR="00E2514E" w:rsidRPr="00E2514E" w14:paraId="72B313F7" w14:textId="77777777" w:rsidTr="00A02465">
        <w:tc>
          <w:tcPr>
            <w:tcW w:w="4508" w:type="dxa"/>
          </w:tcPr>
          <w:p w14:paraId="04288336" w14:textId="77777777" w:rsidR="00E2514E" w:rsidRPr="00E2514E" w:rsidRDefault="00E2514E" w:rsidP="00E2514E">
            <w:pPr>
              <w:spacing w:line="276" w:lineRule="auto"/>
              <w:rPr>
                <w:rFonts w:eastAsia="Calibri" w:cstheme="minorHAnsi"/>
              </w:rPr>
            </w:pPr>
            <w:r w:rsidRPr="00E2514E">
              <w:rPr>
                <w:rFonts w:eastAsia="Calibri" w:cstheme="minorHAnsi"/>
              </w:rPr>
              <w:t>Ability to deliver the project, data migration and training within the Customers specified timescales</w:t>
            </w:r>
          </w:p>
        </w:tc>
        <w:tc>
          <w:tcPr>
            <w:tcW w:w="4508" w:type="dxa"/>
          </w:tcPr>
          <w:p w14:paraId="213E6B9C" w14:textId="77777777" w:rsidR="00E2514E" w:rsidRPr="00E2514E" w:rsidRDefault="00E2514E" w:rsidP="00E2514E">
            <w:pPr>
              <w:spacing w:line="276" w:lineRule="auto"/>
              <w:jc w:val="center"/>
              <w:rPr>
                <w:rFonts w:eastAsia="Calibri" w:cstheme="minorHAnsi"/>
              </w:rPr>
            </w:pPr>
            <w:r w:rsidRPr="00E2514E">
              <w:rPr>
                <w:rFonts w:eastAsia="Calibri" w:cstheme="minorHAnsi"/>
              </w:rPr>
              <w:t>30%</w:t>
            </w:r>
          </w:p>
        </w:tc>
      </w:tr>
      <w:tr w:rsidR="00E2514E" w:rsidRPr="00E2514E" w14:paraId="3684E428" w14:textId="77777777" w:rsidTr="00A02465">
        <w:tc>
          <w:tcPr>
            <w:tcW w:w="4508" w:type="dxa"/>
          </w:tcPr>
          <w:p w14:paraId="5B11D1D5" w14:textId="77777777" w:rsidR="00E2514E" w:rsidRPr="00E2514E" w:rsidRDefault="00E2514E" w:rsidP="00E2514E">
            <w:pPr>
              <w:spacing w:line="276" w:lineRule="auto"/>
              <w:rPr>
                <w:rFonts w:eastAsia="Calibri" w:cstheme="minorHAnsi"/>
              </w:rPr>
            </w:pPr>
            <w:r w:rsidRPr="00E2514E">
              <w:rPr>
                <w:rFonts w:eastAsia="Calibri" w:cstheme="minorHAnsi"/>
              </w:rPr>
              <w:t>Quality score (this score is carried through from the score obtained as part of the framework level evaluation)</w:t>
            </w:r>
          </w:p>
        </w:tc>
        <w:tc>
          <w:tcPr>
            <w:tcW w:w="4508" w:type="dxa"/>
          </w:tcPr>
          <w:p w14:paraId="55ABAFD2" w14:textId="77777777" w:rsidR="00E2514E" w:rsidRPr="00E2514E" w:rsidRDefault="00E2514E" w:rsidP="00E2514E">
            <w:pPr>
              <w:spacing w:line="276" w:lineRule="auto"/>
              <w:jc w:val="center"/>
              <w:rPr>
                <w:rFonts w:eastAsia="Calibri" w:cstheme="minorHAnsi"/>
              </w:rPr>
            </w:pPr>
            <w:r w:rsidRPr="00E2514E">
              <w:rPr>
                <w:rFonts w:eastAsia="Calibri" w:cstheme="minorHAnsi"/>
              </w:rPr>
              <w:t>15%</w:t>
            </w:r>
          </w:p>
        </w:tc>
      </w:tr>
      <w:tr w:rsidR="00E2514E" w:rsidRPr="00E2514E" w14:paraId="751A6A9B" w14:textId="77777777" w:rsidTr="00A02465">
        <w:tc>
          <w:tcPr>
            <w:tcW w:w="4508" w:type="dxa"/>
          </w:tcPr>
          <w:p w14:paraId="23319658" w14:textId="77777777" w:rsidR="00E2514E" w:rsidRPr="00E2514E" w:rsidRDefault="00E2514E" w:rsidP="00E2514E">
            <w:pPr>
              <w:spacing w:line="276" w:lineRule="auto"/>
              <w:rPr>
                <w:rFonts w:eastAsia="Calibri" w:cstheme="minorHAnsi"/>
              </w:rPr>
            </w:pPr>
            <w:r w:rsidRPr="00E2514E">
              <w:rPr>
                <w:rFonts w:eastAsia="Calibri" w:cstheme="minorHAnsi"/>
              </w:rPr>
              <w:t>Technical functionality</w:t>
            </w:r>
          </w:p>
        </w:tc>
        <w:tc>
          <w:tcPr>
            <w:tcW w:w="4508" w:type="dxa"/>
          </w:tcPr>
          <w:p w14:paraId="40617035" w14:textId="77777777" w:rsidR="00E2514E" w:rsidRPr="00E2514E" w:rsidRDefault="00E2514E" w:rsidP="00E2514E">
            <w:pPr>
              <w:spacing w:line="276" w:lineRule="auto"/>
              <w:jc w:val="center"/>
              <w:rPr>
                <w:rFonts w:eastAsia="Calibri" w:cstheme="minorHAnsi"/>
              </w:rPr>
            </w:pPr>
            <w:r w:rsidRPr="00E2514E">
              <w:rPr>
                <w:rFonts w:eastAsia="Calibri" w:cstheme="minorHAnsi"/>
              </w:rPr>
              <w:t>15%</w:t>
            </w:r>
          </w:p>
        </w:tc>
      </w:tr>
      <w:tr w:rsidR="00E2514E" w:rsidRPr="00E2514E" w14:paraId="0F153634" w14:textId="77777777" w:rsidTr="00A02465">
        <w:tc>
          <w:tcPr>
            <w:tcW w:w="4508" w:type="dxa"/>
          </w:tcPr>
          <w:p w14:paraId="1178B5D8" w14:textId="77777777" w:rsidR="00E2514E" w:rsidRPr="00E2514E" w:rsidRDefault="00E2514E" w:rsidP="00E2514E">
            <w:pPr>
              <w:spacing w:line="276" w:lineRule="auto"/>
              <w:rPr>
                <w:rFonts w:eastAsia="Calibri" w:cstheme="minorHAnsi"/>
              </w:rPr>
            </w:pPr>
            <w:r w:rsidRPr="00E2514E">
              <w:rPr>
                <w:rFonts w:eastAsia="Calibri" w:cstheme="minorHAnsi"/>
              </w:rPr>
              <w:t>Whole life cost over period of call-off</w:t>
            </w:r>
          </w:p>
        </w:tc>
        <w:tc>
          <w:tcPr>
            <w:tcW w:w="4508" w:type="dxa"/>
          </w:tcPr>
          <w:p w14:paraId="5EE4EAEC" w14:textId="77777777" w:rsidR="00E2514E" w:rsidRPr="00E2514E" w:rsidRDefault="00E2514E" w:rsidP="00E2514E">
            <w:pPr>
              <w:spacing w:line="276" w:lineRule="auto"/>
              <w:jc w:val="center"/>
              <w:rPr>
                <w:rFonts w:eastAsia="Calibri" w:cstheme="minorHAnsi"/>
              </w:rPr>
            </w:pPr>
            <w:r w:rsidRPr="00E2514E">
              <w:rPr>
                <w:rFonts w:eastAsia="Calibri" w:cstheme="minorHAnsi"/>
              </w:rPr>
              <w:t>40%</w:t>
            </w:r>
          </w:p>
        </w:tc>
      </w:tr>
    </w:tbl>
    <w:p w14:paraId="3BCD33E5" w14:textId="77777777" w:rsidR="00E2514E" w:rsidRPr="00E2514E" w:rsidRDefault="00E2514E" w:rsidP="00E2514E">
      <w:pPr>
        <w:rPr>
          <w:kern w:val="2"/>
          <w14:ligatures w14:val="standardContextual"/>
        </w:rPr>
      </w:pPr>
    </w:p>
    <w:p w14:paraId="4A4CAB36" w14:textId="77777777" w:rsidR="00E2514E" w:rsidRPr="00E2514E" w:rsidRDefault="00E2514E" w:rsidP="00E2514E">
      <w:pPr>
        <w:rPr>
          <w:kern w:val="2"/>
          <w14:ligatures w14:val="standardContextual"/>
        </w:rPr>
      </w:pPr>
      <w:r w:rsidRPr="00E2514E">
        <w:rPr>
          <w:kern w:val="2"/>
          <w14:ligatures w14:val="standardContextual"/>
        </w:rPr>
        <w:t>Lot 1 - Management Information System with support from an accredited support team for Primary Schools.</w:t>
      </w:r>
    </w:p>
    <w:tbl>
      <w:tblPr>
        <w:tblStyle w:val="TableGrid1"/>
        <w:tblW w:w="0" w:type="auto"/>
        <w:tblInd w:w="720" w:type="dxa"/>
        <w:tblLook w:val="04A0" w:firstRow="1" w:lastRow="0" w:firstColumn="1" w:lastColumn="0" w:noHBand="0" w:noVBand="1"/>
      </w:tblPr>
      <w:tblGrid>
        <w:gridCol w:w="4153"/>
        <w:gridCol w:w="4143"/>
      </w:tblGrid>
      <w:tr w:rsidR="00E2514E" w:rsidRPr="00E2514E" w14:paraId="253A7375" w14:textId="77777777" w:rsidTr="00A02465">
        <w:tc>
          <w:tcPr>
            <w:tcW w:w="4508" w:type="dxa"/>
          </w:tcPr>
          <w:p w14:paraId="7A511A58"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Supplier</w:t>
            </w:r>
          </w:p>
        </w:tc>
        <w:tc>
          <w:tcPr>
            <w:tcW w:w="4508" w:type="dxa"/>
          </w:tcPr>
          <w:p w14:paraId="146C991C"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62573D60" w14:textId="77777777" w:rsidTr="00A02465">
        <w:tc>
          <w:tcPr>
            <w:tcW w:w="4508" w:type="dxa"/>
          </w:tcPr>
          <w:p w14:paraId="4E6C1064" w14:textId="08C1BD6B"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Arbor</w:t>
            </w:r>
            <w:r w:rsidR="0029513F">
              <w:rPr>
                <w:rFonts w:eastAsiaTheme="minorHAnsi"/>
                <w:kern w:val="2"/>
                <w14:ligatures w14:val="standardContextual"/>
              </w:rPr>
              <w:t xml:space="preserve"> Education Partners Group Ltd</w:t>
            </w:r>
          </w:p>
        </w:tc>
        <w:tc>
          <w:tcPr>
            <w:tcW w:w="4508" w:type="dxa"/>
          </w:tcPr>
          <w:p w14:paraId="22BDB1B5"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13.96%</w:t>
            </w:r>
          </w:p>
        </w:tc>
      </w:tr>
      <w:tr w:rsidR="00E2514E" w:rsidRPr="00E2514E" w14:paraId="2AA5D3A1" w14:textId="77777777" w:rsidTr="00A02465">
        <w:tc>
          <w:tcPr>
            <w:tcW w:w="4508" w:type="dxa"/>
          </w:tcPr>
          <w:p w14:paraId="47DA76CC" w14:textId="77777777" w:rsidR="00E2514E" w:rsidRPr="00E2514E" w:rsidRDefault="00E2514E" w:rsidP="00E2514E">
            <w:pPr>
              <w:spacing w:after="160" w:line="259" w:lineRule="auto"/>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508" w:type="dxa"/>
          </w:tcPr>
          <w:p w14:paraId="230C51AB"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12.12%</w:t>
            </w:r>
          </w:p>
        </w:tc>
      </w:tr>
      <w:tr w:rsidR="00E2514E" w:rsidRPr="00E2514E" w14:paraId="59B41A17" w14:textId="77777777" w:rsidTr="00A02465">
        <w:tc>
          <w:tcPr>
            <w:tcW w:w="4508" w:type="dxa"/>
          </w:tcPr>
          <w:p w14:paraId="36B49E68" w14:textId="77777777"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Histon House Ltd</w:t>
            </w:r>
          </w:p>
        </w:tc>
        <w:tc>
          <w:tcPr>
            <w:tcW w:w="4508" w:type="dxa"/>
          </w:tcPr>
          <w:p w14:paraId="4A2DCA3B"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12.30%</w:t>
            </w:r>
          </w:p>
        </w:tc>
      </w:tr>
      <w:tr w:rsidR="00E2514E" w:rsidRPr="00E2514E" w14:paraId="1C92CE6C" w14:textId="77777777" w:rsidTr="00A02465">
        <w:tc>
          <w:tcPr>
            <w:tcW w:w="4508" w:type="dxa"/>
          </w:tcPr>
          <w:p w14:paraId="6D59CA55" w14:textId="0B8C6234"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508" w:type="dxa"/>
          </w:tcPr>
          <w:p w14:paraId="28B400E3"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9.85%</w:t>
            </w:r>
          </w:p>
        </w:tc>
      </w:tr>
    </w:tbl>
    <w:p w14:paraId="4705C36D" w14:textId="77777777" w:rsidR="00E2514E" w:rsidRPr="00E2514E" w:rsidRDefault="00E2514E" w:rsidP="00E2514E">
      <w:pPr>
        <w:rPr>
          <w:kern w:val="2"/>
          <w14:ligatures w14:val="standardContextual"/>
        </w:rPr>
      </w:pPr>
    </w:p>
    <w:p w14:paraId="4326FD4C" w14:textId="77777777" w:rsidR="00E2514E" w:rsidRPr="00E2514E" w:rsidRDefault="00E2514E" w:rsidP="00E2514E">
      <w:pPr>
        <w:rPr>
          <w:kern w:val="2"/>
          <w14:ligatures w14:val="standardContextual"/>
        </w:rPr>
      </w:pPr>
      <w:r w:rsidRPr="00E2514E">
        <w:rPr>
          <w:kern w:val="2"/>
          <w14:ligatures w14:val="standardContextual"/>
        </w:rPr>
        <w:t>Lot Two - Management Information System with support from an accredited support team for Secondary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1EE9A30D" w14:textId="77777777" w:rsidTr="00A02465">
        <w:tc>
          <w:tcPr>
            <w:tcW w:w="4151" w:type="dxa"/>
          </w:tcPr>
          <w:p w14:paraId="49D01823"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4F3AD426"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602A1656" w14:textId="77777777" w:rsidTr="00A02465">
        <w:tc>
          <w:tcPr>
            <w:tcW w:w="4151" w:type="dxa"/>
          </w:tcPr>
          <w:p w14:paraId="0420FD1F" w14:textId="23F685DD"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Arbor</w:t>
            </w:r>
            <w:r w:rsidR="0029513F">
              <w:rPr>
                <w:rFonts w:eastAsiaTheme="minorHAnsi"/>
                <w:kern w:val="2"/>
                <w14:ligatures w14:val="standardContextual"/>
              </w:rPr>
              <w:t xml:space="preserve"> Education Partners Group Ltd</w:t>
            </w:r>
          </w:p>
        </w:tc>
        <w:tc>
          <w:tcPr>
            <w:tcW w:w="4145" w:type="dxa"/>
          </w:tcPr>
          <w:p w14:paraId="009B481C"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14.02%</w:t>
            </w:r>
          </w:p>
        </w:tc>
      </w:tr>
      <w:tr w:rsidR="00E2514E" w:rsidRPr="00E2514E" w14:paraId="19C75394" w14:textId="77777777" w:rsidTr="00A02465">
        <w:tc>
          <w:tcPr>
            <w:tcW w:w="4151" w:type="dxa"/>
          </w:tcPr>
          <w:p w14:paraId="49A7DBFA" w14:textId="77777777" w:rsidR="00E2514E" w:rsidRPr="00E2514E" w:rsidRDefault="00E2514E" w:rsidP="00E2514E">
            <w:pPr>
              <w:spacing w:after="160" w:line="259" w:lineRule="auto"/>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47AED8FE"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11.71%</w:t>
            </w:r>
          </w:p>
        </w:tc>
      </w:tr>
      <w:tr w:rsidR="00E2514E" w:rsidRPr="00E2514E" w14:paraId="55CB06D4" w14:textId="77777777" w:rsidTr="00A02465">
        <w:tc>
          <w:tcPr>
            <w:tcW w:w="4151" w:type="dxa"/>
          </w:tcPr>
          <w:p w14:paraId="0EDE1D4D" w14:textId="437A2A54"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145" w:type="dxa"/>
          </w:tcPr>
          <w:p w14:paraId="7A16BFDA"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13.40%</w:t>
            </w:r>
          </w:p>
        </w:tc>
      </w:tr>
    </w:tbl>
    <w:p w14:paraId="68D1DDF0" w14:textId="77777777" w:rsidR="00E2514E" w:rsidRPr="00E2514E" w:rsidRDefault="00E2514E" w:rsidP="00E2514E">
      <w:pPr>
        <w:rPr>
          <w:kern w:val="2"/>
          <w14:ligatures w14:val="standardContextual"/>
        </w:rPr>
      </w:pPr>
    </w:p>
    <w:p w14:paraId="563C21BE" w14:textId="77777777" w:rsidR="00E2514E" w:rsidRPr="00E2514E" w:rsidRDefault="00E2514E" w:rsidP="00E2514E">
      <w:pPr>
        <w:rPr>
          <w:kern w:val="2"/>
          <w14:ligatures w14:val="standardContextual"/>
        </w:rPr>
      </w:pPr>
      <w:r w:rsidRPr="00E2514E">
        <w:rPr>
          <w:kern w:val="2"/>
          <w14:ligatures w14:val="standardContextual"/>
        </w:rPr>
        <w:t>Lot Three - Management Information System with support from the Supplier for Primary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15287AA0" w14:textId="77777777" w:rsidTr="00A02465">
        <w:tc>
          <w:tcPr>
            <w:tcW w:w="4151" w:type="dxa"/>
          </w:tcPr>
          <w:p w14:paraId="5BE762E5"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56C9C21B"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0BD392D7" w14:textId="77777777" w:rsidTr="00A02465">
        <w:tc>
          <w:tcPr>
            <w:tcW w:w="4151" w:type="dxa"/>
          </w:tcPr>
          <w:p w14:paraId="4CF5066B" w14:textId="7A5C1D2A"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Arbor</w:t>
            </w:r>
            <w:r w:rsidR="0029513F">
              <w:rPr>
                <w:rFonts w:eastAsiaTheme="minorHAnsi"/>
                <w:kern w:val="2"/>
                <w14:ligatures w14:val="standardContextual"/>
              </w:rPr>
              <w:t xml:space="preserve"> Education Partners Group Ltd</w:t>
            </w:r>
          </w:p>
        </w:tc>
        <w:tc>
          <w:tcPr>
            <w:tcW w:w="4145" w:type="dxa"/>
          </w:tcPr>
          <w:p w14:paraId="6F041CD9"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13.96%</w:t>
            </w:r>
          </w:p>
        </w:tc>
      </w:tr>
      <w:tr w:rsidR="00E2514E" w:rsidRPr="00E2514E" w14:paraId="18E77710" w14:textId="77777777" w:rsidTr="00A02465">
        <w:tc>
          <w:tcPr>
            <w:tcW w:w="4151" w:type="dxa"/>
          </w:tcPr>
          <w:p w14:paraId="4EB50C0F" w14:textId="77777777" w:rsidR="00E2514E" w:rsidRPr="00E2514E" w:rsidRDefault="00E2514E" w:rsidP="00E2514E">
            <w:pPr>
              <w:spacing w:after="160" w:line="259" w:lineRule="auto"/>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129C8002"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12.94%</w:t>
            </w:r>
          </w:p>
        </w:tc>
      </w:tr>
      <w:tr w:rsidR="00E2514E" w:rsidRPr="00E2514E" w14:paraId="375923E2" w14:textId="77777777" w:rsidTr="00A02465">
        <w:tc>
          <w:tcPr>
            <w:tcW w:w="4151" w:type="dxa"/>
          </w:tcPr>
          <w:p w14:paraId="02CF6C58" w14:textId="77777777"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Histon House Ltd</w:t>
            </w:r>
          </w:p>
        </w:tc>
        <w:tc>
          <w:tcPr>
            <w:tcW w:w="4145" w:type="dxa"/>
          </w:tcPr>
          <w:p w14:paraId="6A7C230A"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11.96%</w:t>
            </w:r>
          </w:p>
        </w:tc>
      </w:tr>
      <w:tr w:rsidR="00E2514E" w:rsidRPr="00E2514E" w14:paraId="542A36FD" w14:textId="77777777" w:rsidTr="00A02465">
        <w:tc>
          <w:tcPr>
            <w:tcW w:w="4151" w:type="dxa"/>
          </w:tcPr>
          <w:p w14:paraId="71C25922" w14:textId="47A6722C"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145" w:type="dxa"/>
          </w:tcPr>
          <w:p w14:paraId="47E26ADB"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10.24%</w:t>
            </w:r>
          </w:p>
        </w:tc>
      </w:tr>
    </w:tbl>
    <w:p w14:paraId="728C632C" w14:textId="77777777" w:rsidR="00E2514E" w:rsidRPr="00E2514E" w:rsidRDefault="00E2514E" w:rsidP="00E2514E">
      <w:pPr>
        <w:rPr>
          <w:kern w:val="2"/>
          <w14:ligatures w14:val="standardContextual"/>
        </w:rPr>
      </w:pPr>
    </w:p>
    <w:p w14:paraId="0EC571F8" w14:textId="77777777" w:rsidR="00E2514E" w:rsidRPr="00E2514E" w:rsidRDefault="00E2514E" w:rsidP="00E2514E">
      <w:pPr>
        <w:rPr>
          <w:kern w:val="2"/>
          <w14:ligatures w14:val="standardContextual"/>
        </w:rPr>
      </w:pPr>
      <w:r w:rsidRPr="00E2514E">
        <w:rPr>
          <w:kern w:val="2"/>
          <w14:ligatures w14:val="standardContextual"/>
        </w:rPr>
        <w:t>Lot Four - Management Information System with support from the Supplier for Secondary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247AC25A" w14:textId="77777777" w:rsidTr="00A02465">
        <w:tc>
          <w:tcPr>
            <w:tcW w:w="4151" w:type="dxa"/>
          </w:tcPr>
          <w:p w14:paraId="47B1E89F"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lastRenderedPageBreak/>
              <w:t>Supplier</w:t>
            </w:r>
          </w:p>
        </w:tc>
        <w:tc>
          <w:tcPr>
            <w:tcW w:w="4145" w:type="dxa"/>
          </w:tcPr>
          <w:p w14:paraId="0F35F814"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0C2E8A9B" w14:textId="77777777" w:rsidTr="00A02465">
        <w:tc>
          <w:tcPr>
            <w:tcW w:w="4151" w:type="dxa"/>
          </w:tcPr>
          <w:p w14:paraId="147EBB2F" w14:textId="28E73C89"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Arbor</w:t>
            </w:r>
            <w:r w:rsidR="0029513F">
              <w:rPr>
                <w:rFonts w:eastAsiaTheme="minorHAnsi"/>
                <w:kern w:val="2"/>
                <w14:ligatures w14:val="standardContextual"/>
              </w:rPr>
              <w:t xml:space="preserve"> Education Partners Group Ltd</w:t>
            </w:r>
          </w:p>
        </w:tc>
        <w:tc>
          <w:tcPr>
            <w:tcW w:w="4145" w:type="dxa"/>
          </w:tcPr>
          <w:p w14:paraId="5CDFAE4C"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14.02%</w:t>
            </w:r>
          </w:p>
        </w:tc>
      </w:tr>
      <w:tr w:rsidR="00E2514E" w:rsidRPr="00E2514E" w14:paraId="642D23A6" w14:textId="77777777" w:rsidTr="00A02465">
        <w:tc>
          <w:tcPr>
            <w:tcW w:w="4151" w:type="dxa"/>
          </w:tcPr>
          <w:p w14:paraId="70880C7C" w14:textId="77777777" w:rsidR="00E2514E" w:rsidRPr="00E2514E" w:rsidRDefault="00E2514E" w:rsidP="00E2514E">
            <w:pPr>
              <w:spacing w:after="160" w:line="259" w:lineRule="auto"/>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2E53E962"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11.42%</w:t>
            </w:r>
          </w:p>
        </w:tc>
      </w:tr>
      <w:tr w:rsidR="00E2514E" w:rsidRPr="00E2514E" w14:paraId="4F8D4E9C" w14:textId="77777777" w:rsidTr="00A02465">
        <w:tc>
          <w:tcPr>
            <w:tcW w:w="4151" w:type="dxa"/>
          </w:tcPr>
          <w:p w14:paraId="32BD8959" w14:textId="124048CC"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 xml:space="preserve">al </w:t>
            </w:r>
            <w:r w:rsidRPr="00E2514E">
              <w:rPr>
                <w:rFonts w:eastAsiaTheme="minorHAnsi"/>
                <w:kern w:val="2"/>
                <w14:ligatures w14:val="standardContextual"/>
              </w:rPr>
              <w:t xml:space="preserve">Software </w:t>
            </w:r>
            <w:r w:rsidR="0029513F">
              <w:rPr>
                <w:rFonts w:eastAsiaTheme="minorHAnsi"/>
                <w:kern w:val="2"/>
                <w14:ligatures w14:val="standardContextual"/>
              </w:rPr>
              <w:t>L</w:t>
            </w:r>
            <w:r w:rsidRPr="00E2514E">
              <w:rPr>
                <w:rFonts w:eastAsiaTheme="minorHAnsi"/>
                <w:kern w:val="2"/>
                <w14:ligatures w14:val="standardContextual"/>
              </w:rPr>
              <w:t>td</w:t>
            </w:r>
          </w:p>
        </w:tc>
        <w:tc>
          <w:tcPr>
            <w:tcW w:w="4145" w:type="dxa"/>
          </w:tcPr>
          <w:p w14:paraId="2C4AE058"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13.55%</w:t>
            </w:r>
          </w:p>
        </w:tc>
      </w:tr>
    </w:tbl>
    <w:p w14:paraId="7B0D8AD0" w14:textId="77777777" w:rsidR="00E2514E" w:rsidRPr="00E2514E" w:rsidRDefault="00E2514E" w:rsidP="00E2514E">
      <w:pPr>
        <w:rPr>
          <w:kern w:val="2"/>
          <w14:ligatures w14:val="standardContextual"/>
        </w:rPr>
      </w:pPr>
    </w:p>
    <w:p w14:paraId="51934D17" w14:textId="77777777" w:rsidR="00E2514E" w:rsidRPr="00E2514E" w:rsidRDefault="00E2514E" w:rsidP="00E2514E">
      <w:pPr>
        <w:rPr>
          <w:kern w:val="2"/>
          <w14:ligatures w14:val="standardContextual"/>
        </w:rPr>
      </w:pPr>
      <w:bookmarkStart w:id="4" w:name="_Hlk179814142"/>
      <w:r w:rsidRPr="00E2514E">
        <w:rPr>
          <w:kern w:val="2"/>
          <w14:ligatures w14:val="standardContextual"/>
        </w:rPr>
        <w:t>Lot Five - Financial Accounting System with support from an accredited support team for Primary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0A38E263" w14:textId="77777777" w:rsidTr="00A02465">
        <w:tc>
          <w:tcPr>
            <w:tcW w:w="4151" w:type="dxa"/>
          </w:tcPr>
          <w:p w14:paraId="1B014B31"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1BAE567E" w14:textId="77777777" w:rsidR="00E2514E" w:rsidRPr="00E2514E" w:rsidRDefault="00E2514E" w:rsidP="00E2514E">
            <w:pPr>
              <w:spacing w:after="160" w:line="259" w:lineRule="auto"/>
              <w:jc w:val="center"/>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264AA4D0" w14:textId="77777777" w:rsidTr="00A02465">
        <w:tc>
          <w:tcPr>
            <w:tcW w:w="4151" w:type="dxa"/>
          </w:tcPr>
          <w:p w14:paraId="4351B5CC" w14:textId="77777777" w:rsidR="00E2514E" w:rsidRPr="00E2514E" w:rsidRDefault="00E2514E" w:rsidP="00E2514E">
            <w:pPr>
              <w:spacing w:after="160" w:line="259" w:lineRule="auto"/>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30B8380A"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11.65%</w:t>
            </w:r>
          </w:p>
        </w:tc>
      </w:tr>
      <w:tr w:rsidR="00E2514E" w:rsidRPr="00E2514E" w14:paraId="35A348B2" w14:textId="77777777" w:rsidTr="00A02465">
        <w:tc>
          <w:tcPr>
            <w:tcW w:w="4151" w:type="dxa"/>
          </w:tcPr>
          <w:p w14:paraId="18A1767D" w14:textId="158E9B23" w:rsidR="00E2514E" w:rsidRPr="00E2514E" w:rsidRDefault="00E2514E" w:rsidP="00E2514E">
            <w:pPr>
              <w:spacing w:after="160" w:line="259" w:lineRule="auto"/>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145" w:type="dxa"/>
          </w:tcPr>
          <w:p w14:paraId="054B525C"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13.77%</w:t>
            </w:r>
          </w:p>
        </w:tc>
      </w:tr>
      <w:bookmarkEnd w:id="4"/>
    </w:tbl>
    <w:p w14:paraId="5428B41F" w14:textId="77777777" w:rsidR="00E2514E" w:rsidRPr="00E2514E" w:rsidRDefault="00E2514E" w:rsidP="00E2514E">
      <w:pPr>
        <w:rPr>
          <w:kern w:val="2"/>
          <w14:ligatures w14:val="standardContextual"/>
        </w:rPr>
      </w:pPr>
    </w:p>
    <w:p w14:paraId="3892F2D6" w14:textId="77777777" w:rsidR="00E2514E" w:rsidRPr="00E2514E" w:rsidRDefault="00E2514E" w:rsidP="00E2514E">
      <w:pPr>
        <w:rPr>
          <w:kern w:val="2"/>
          <w14:ligatures w14:val="standardContextual"/>
        </w:rPr>
      </w:pPr>
      <w:r w:rsidRPr="00E2514E">
        <w:rPr>
          <w:kern w:val="2"/>
          <w14:ligatures w14:val="standardContextual"/>
        </w:rPr>
        <w:t>Lot Six - Financial Accounting System with support from an accredited support team for Secondary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4D7FC5C3" w14:textId="77777777" w:rsidTr="00A02465">
        <w:tc>
          <w:tcPr>
            <w:tcW w:w="4151" w:type="dxa"/>
          </w:tcPr>
          <w:p w14:paraId="787AD2F5"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1AFBEB54"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3984466D" w14:textId="77777777" w:rsidTr="00A02465">
        <w:tc>
          <w:tcPr>
            <w:tcW w:w="4151" w:type="dxa"/>
          </w:tcPr>
          <w:p w14:paraId="39D2B849" w14:textId="77777777" w:rsidR="00E2514E" w:rsidRPr="00E2514E" w:rsidRDefault="00E2514E" w:rsidP="00E2514E">
            <w:pPr>
              <w:spacing w:after="160" w:line="259" w:lineRule="auto"/>
              <w:jc w:val="center"/>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63F49851"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10.39%</w:t>
            </w:r>
          </w:p>
        </w:tc>
      </w:tr>
      <w:tr w:rsidR="00E2514E" w:rsidRPr="00E2514E" w14:paraId="49AF245D" w14:textId="77777777" w:rsidTr="00A02465">
        <w:tc>
          <w:tcPr>
            <w:tcW w:w="4151" w:type="dxa"/>
          </w:tcPr>
          <w:p w14:paraId="228E85C3" w14:textId="0DE1B6B9"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td</w:t>
            </w:r>
          </w:p>
        </w:tc>
        <w:tc>
          <w:tcPr>
            <w:tcW w:w="4145" w:type="dxa"/>
          </w:tcPr>
          <w:p w14:paraId="50AE4C3A"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13.77%</w:t>
            </w:r>
          </w:p>
        </w:tc>
      </w:tr>
    </w:tbl>
    <w:p w14:paraId="5F12CEB6" w14:textId="77777777" w:rsidR="00E2514E" w:rsidRPr="00E2514E" w:rsidRDefault="00E2514E" w:rsidP="00E2514E">
      <w:pPr>
        <w:rPr>
          <w:kern w:val="2"/>
          <w14:ligatures w14:val="standardContextual"/>
        </w:rPr>
      </w:pPr>
    </w:p>
    <w:p w14:paraId="6F910E88" w14:textId="77777777" w:rsidR="00E2514E" w:rsidRPr="00E2514E" w:rsidRDefault="00E2514E" w:rsidP="00E2514E">
      <w:pPr>
        <w:rPr>
          <w:kern w:val="2"/>
          <w14:ligatures w14:val="standardContextual"/>
        </w:rPr>
      </w:pPr>
      <w:r w:rsidRPr="00E2514E">
        <w:rPr>
          <w:kern w:val="2"/>
          <w14:ligatures w14:val="standardContextual"/>
        </w:rPr>
        <w:t>Lot Seven - Financial Accounting System with support from the Supplier for Primary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32E4F3A3" w14:textId="77777777" w:rsidTr="00A02465">
        <w:tc>
          <w:tcPr>
            <w:tcW w:w="4151" w:type="dxa"/>
          </w:tcPr>
          <w:p w14:paraId="2AE75F42"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093E3787"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1CF2FE93" w14:textId="77777777" w:rsidTr="00A02465">
        <w:tc>
          <w:tcPr>
            <w:tcW w:w="4151" w:type="dxa"/>
          </w:tcPr>
          <w:p w14:paraId="14637388" w14:textId="77777777" w:rsidR="00E2514E" w:rsidRPr="00E2514E" w:rsidRDefault="00E2514E" w:rsidP="00E2514E">
            <w:pPr>
              <w:spacing w:after="160" w:line="259" w:lineRule="auto"/>
              <w:jc w:val="center"/>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4653EE8A"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12.25%</w:t>
            </w:r>
          </w:p>
        </w:tc>
      </w:tr>
      <w:tr w:rsidR="00E2514E" w:rsidRPr="00E2514E" w14:paraId="57F43B16" w14:textId="77777777" w:rsidTr="00A02465">
        <w:tc>
          <w:tcPr>
            <w:tcW w:w="4151" w:type="dxa"/>
          </w:tcPr>
          <w:p w14:paraId="311D0A18" w14:textId="19546912"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145" w:type="dxa"/>
          </w:tcPr>
          <w:p w14:paraId="42191981"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13.77%</w:t>
            </w:r>
          </w:p>
        </w:tc>
      </w:tr>
    </w:tbl>
    <w:p w14:paraId="4F8B90EF" w14:textId="77777777" w:rsidR="00E2514E" w:rsidRPr="00E2514E" w:rsidRDefault="00E2514E" w:rsidP="00E2514E">
      <w:pPr>
        <w:rPr>
          <w:kern w:val="2"/>
          <w14:ligatures w14:val="standardContextual"/>
        </w:rPr>
      </w:pPr>
    </w:p>
    <w:p w14:paraId="384407C7" w14:textId="77777777" w:rsidR="00E2514E" w:rsidRPr="00E2514E" w:rsidRDefault="00E2514E" w:rsidP="00E2514E">
      <w:pPr>
        <w:rPr>
          <w:kern w:val="2"/>
          <w14:ligatures w14:val="standardContextual"/>
        </w:rPr>
      </w:pPr>
      <w:r w:rsidRPr="00E2514E">
        <w:rPr>
          <w:kern w:val="2"/>
          <w14:ligatures w14:val="standardContextual"/>
        </w:rPr>
        <w:t>Lot Eight - Financial Accounting System with support from the Supplier for Secondary Schools.</w:t>
      </w:r>
    </w:p>
    <w:tbl>
      <w:tblPr>
        <w:tblStyle w:val="TableGrid1"/>
        <w:tblW w:w="0" w:type="auto"/>
        <w:tblInd w:w="720" w:type="dxa"/>
        <w:tblLook w:val="04A0" w:firstRow="1" w:lastRow="0" w:firstColumn="1" w:lastColumn="0" w:noHBand="0" w:noVBand="1"/>
      </w:tblPr>
      <w:tblGrid>
        <w:gridCol w:w="4151"/>
        <w:gridCol w:w="4145"/>
      </w:tblGrid>
      <w:tr w:rsidR="00E2514E" w:rsidRPr="00E2514E" w14:paraId="5E9EC467" w14:textId="77777777" w:rsidTr="00A02465">
        <w:tc>
          <w:tcPr>
            <w:tcW w:w="4151" w:type="dxa"/>
          </w:tcPr>
          <w:p w14:paraId="24EB26CD"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Supplier</w:t>
            </w:r>
          </w:p>
        </w:tc>
        <w:tc>
          <w:tcPr>
            <w:tcW w:w="4145" w:type="dxa"/>
          </w:tcPr>
          <w:p w14:paraId="6C3C4137" w14:textId="77777777" w:rsidR="00E2514E" w:rsidRPr="00E2514E" w:rsidRDefault="00E2514E" w:rsidP="00E2514E">
            <w:pPr>
              <w:spacing w:after="160" w:line="259" w:lineRule="auto"/>
              <w:rPr>
                <w:rFonts w:eastAsiaTheme="minorHAnsi"/>
                <w:b/>
                <w:kern w:val="2"/>
                <w14:ligatures w14:val="standardContextual"/>
              </w:rPr>
            </w:pPr>
            <w:r w:rsidRPr="00E2514E">
              <w:rPr>
                <w:rFonts w:eastAsiaTheme="minorHAnsi"/>
                <w:b/>
                <w:kern w:val="2"/>
                <w14:ligatures w14:val="standardContextual"/>
              </w:rPr>
              <w:t>Quality Weighting</w:t>
            </w:r>
          </w:p>
        </w:tc>
      </w:tr>
      <w:tr w:rsidR="00E2514E" w:rsidRPr="00E2514E" w14:paraId="29E867C5" w14:textId="77777777" w:rsidTr="00A02465">
        <w:tc>
          <w:tcPr>
            <w:tcW w:w="4151" w:type="dxa"/>
          </w:tcPr>
          <w:p w14:paraId="0BE19324" w14:textId="77777777" w:rsidR="00E2514E" w:rsidRPr="00E2514E" w:rsidRDefault="00E2514E" w:rsidP="00E2514E">
            <w:pPr>
              <w:spacing w:after="160" w:line="259" w:lineRule="auto"/>
              <w:jc w:val="center"/>
              <w:rPr>
                <w:rFonts w:eastAsiaTheme="minorHAnsi"/>
                <w:kern w:val="2"/>
                <w14:ligatures w14:val="standardContextual"/>
              </w:rPr>
            </w:pPr>
            <w:proofErr w:type="spellStart"/>
            <w:r w:rsidRPr="00E2514E">
              <w:rPr>
                <w:rFonts w:eastAsiaTheme="minorHAnsi"/>
                <w:kern w:val="2"/>
                <w14:ligatures w14:val="standardContextual"/>
              </w:rPr>
              <w:t>Bromcom</w:t>
            </w:r>
            <w:proofErr w:type="spellEnd"/>
            <w:r w:rsidRPr="00E2514E">
              <w:rPr>
                <w:rFonts w:eastAsiaTheme="minorHAnsi"/>
                <w:kern w:val="2"/>
                <w14:ligatures w14:val="standardContextual"/>
              </w:rPr>
              <w:t xml:space="preserve"> Computers PLC</w:t>
            </w:r>
          </w:p>
        </w:tc>
        <w:tc>
          <w:tcPr>
            <w:tcW w:w="4145" w:type="dxa"/>
          </w:tcPr>
          <w:p w14:paraId="67D678E2"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10.53%</w:t>
            </w:r>
          </w:p>
        </w:tc>
      </w:tr>
      <w:tr w:rsidR="00E2514E" w:rsidRPr="00E2514E" w14:paraId="6E99B3C9" w14:textId="77777777" w:rsidTr="00A02465">
        <w:tc>
          <w:tcPr>
            <w:tcW w:w="4151" w:type="dxa"/>
          </w:tcPr>
          <w:p w14:paraId="53E1B919" w14:textId="6CF9AB32"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Schools Education</w:t>
            </w:r>
            <w:r w:rsidR="0029513F">
              <w:rPr>
                <w:rFonts w:eastAsiaTheme="minorHAnsi"/>
                <w:kern w:val="2"/>
                <w14:ligatures w14:val="standardContextual"/>
              </w:rPr>
              <w:t>al</w:t>
            </w:r>
            <w:r w:rsidRPr="00E2514E">
              <w:rPr>
                <w:rFonts w:eastAsiaTheme="minorHAnsi"/>
                <w:kern w:val="2"/>
                <w14:ligatures w14:val="standardContextual"/>
              </w:rPr>
              <w:t xml:space="preserve"> Software L</w:t>
            </w:r>
            <w:r w:rsidR="0029513F">
              <w:rPr>
                <w:rFonts w:eastAsiaTheme="minorHAnsi"/>
                <w:kern w:val="2"/>
                <w14:ligatures w14:val="standardContextual"/>
              </w:rPr>
              <w:t>t</w:t>
            </w:r>
            <w:r w:rsidRPr="00E2514E">
              <w:rPr>
                <w:rFonts w:eastAsiaTheme="minorHAnsi"/>
                <w:kern w:val="2"/>
                <w14:ligatures w14:val="standardContextual"/>
              </w:rPr>
              <w:t>d</w:t>
            </w:r>
          </w:p>
        </w:tc>
        <w:tc>
          <w:tcPr>
            <w:tcW w:w="4145" w:type="dxa"/>
          </w:tcPr>
          <w:p w14:paraId="1586C755" w14:textId="77777777" w:rsidR="00E2514E" w:rsidRPr="00E2514E" w:rsidRDefault="00E2514E" w:rsidP="00E2514E">
            <w:pPr>
              <w:spacing w:after="160" w:line="259" w:lineRule="auto"/>
              <w:jc w:val="center"/>
              <w:rPr>
                <w:rFonts w:eastAsiaTheme="minorHAnsi"/>
                <w:kern w:val="2"/>
                <w14:ligatures w14:val="standardContextual"/>
              </w:rPr>
            </w:pPr>
            <w:r w:rsidRPr="00E2514E">
              <w:rPr>
                <w:rFonts w:eastAsiaTheme="minorHAnsi"/>
                <w:kern w:val="2"/>
                <w14:ligatures w14:val="standardContextual"/>
              </w:rPr>
              <w:t>13.54%</w:t>
            </w:r>
          </w:p>
        </w:tc>
      </w:tr>
    </w:tbl>
    <w:p w14:paraId="199310CC" w14:textId="77777777" w:rsidR="00E2514E" w:rsidRPr="00E2514E" w:rsidRDefault="00E2514E" w:rsidP="00E2514E">
      <w:pPr>
        <w:rPr>
          <w:kern w:val="2"/>
          <w14:ligatures w14:val="standardContextual"/>
        </w:rPr>
      </w:pPr>
    </w:p>
    <w:p w14:paraId="39F80F71" w14:textId="77777777" w:rsidR="00E2514E" w:rsidRPr="00E2514E" w:rsidRDefault="00E2514E" w:rsidP="00E2514E">
      <w:pPr>
        <w:rPr>
          <w:b/>
          <w:bCs/>
          <w:kern w:val="2"/>
          <w14:ligatures w14:val="standardContextual"/>
        </w:rPr>
      </w:pPr>
      <w:r w:rsidRPr="00E2514E">
        <w:rPr>
          <w:kern w:val="2"/>
          <w14:ligatures w14:val="standardContextual"/>
        </w:rPr>
        <w:t>The following lots are single supplier lots and therefore, quotes should only be obtained from</w:t>
      </w:r>
      <w:r w:rsidRPr="00E2514E">
        <w:rPr>
          <w:b/>
          <w:bCs/>
          <w:kern w:val="2"/>
          <w14:ligatures w14:val="standardContextual"/>
        </w:rPr>
        <w:t xml:space="preserve"> </w:t>
      </w:r>
      <w:proofErr w:type="spellStart"/>
      <w:r w:rsidRPr="00E2514E">
        <w:rPr>
          <w:b/>
          <w:bCs/>
          <w:kern w:val="2"/>
          <w14:ligatures w14:val="standardContextual"/>
        </w:rPr>
        <w:t>Bromcom</w:t>
      </w:r>
      <w:proofErr w:type="spellEnd"/>
      <w:r w:rsidRPr="00E2514E">
        <w:rPr>
          <w:b/>
          <w:bCs/>
          <w:kern w:val="2"/>
          <w14:ligatures w14:val="standardContextual"/>
        </w:rPr>
        <w:t xml:space="preserve"> Computers PLC:</w:t>
      </w:r>
    </w:p>
    <w:p w14:paraId="7C7537C4" w14:textId="77777777" w:rsidR="00E2514E" w:rsidRPr="00E2514E" w:rsidRDefault="00E2514E" w:rsidP="00E2514E">
      <w:pPr>
        <w:widowControl w:val="0"/>
        <w:numPr>
          <w:ilvl w:val="0"/>
          <w:numId w:val="12"/>
        </w:numPr>
        <w:adjustRightInd w:val="0"/>
        <w:spacing w:after="0" w:line="240" w:lineRule="auto"/>
        <w:jc w:val="both"/>
        <w:textAlignment w:val="baseline"/>
        <w:rPr>
          <w:rFonts w:eastAsia="Times New Roman" w:cstheme="minorHAnsi"/>
          <w:szCs w:val="24"/>
        </w:rPr>
      </w:pPr>
      <w:r w:rsidRPr="00E2514E">
        <w:rPr>
          <w:rFonts w:eastAsia="Times New Roman" w:cstheme="minorHAnsi"/>
          <w:szCs w:val="24"/>
        </w:rPr>
        <w:t>Lot Nine - Management Information System &amp; a Financial Accounting System with support from accredited support team for Primary Schools.</w:t>
      </w:r>
    </w:p>
    <w:p w14:paraId="37E9529D" w14:textId="77777777" w:rsidR="00E2514E" w:rsidRPr="00E2514E" w:rsidRDefault="00E2514E" w:rsidP="00E2514E">
      <w:pPr>
        <w:widowControl w:val="0"/>
        <w:adjustRightInd w:val="0"/>
        <w:spacing w:after="0" w:line="240" w:lineRule="auto"/>
        <w:ind w:left="1080"/>
        <w:jc w:val="both"/>
        <w:textAlignment w:val="baseline"/>
        <w:rPr>
          <w:rFonts w:eastAsia="Times New Roman" w:cstheme="minorHAnsi"/>
          <w:szCs w:val="24"/>
        </w:rPr>
      </w:pPr>
    </w:p>
    <w:p w14:paraId="0D1326FB" w14:textId="77777777" w:rsidR="00E2514E" w:rsidRPr="00E2514E" w:rsidRDefault="00E2514E" w:rsidP="00E2514E">
      <w:pPr>
        <w:widowControl w:val="0"/>
        <w:numPr>
          <w:ilvl w:val="0"/>
          <w:numId w:val="12"/>
        </w:numPr>
        <w:adjustRightInd w:val="0"/>
        <w:spacing w:after="0" w:line="240" w:lineRule="auto"/>
        <w:jc w:val="both"/>
        <w:textAlignment w:val="baseline"/>
        <w:rPr>
          <w:rFonts w:eastAsia="Times New Roman" w:cstheme="minorHAnsi"/>
          <w:szCs w:val="24"/>
        </w:rPr>
      </w:pPr>
      <w:r w:rsidRPr="00E2514E">
        <w:rPr>
          <w:rFonts w:eastAsia="Times New Roman" w:cstheme="minorHAnsi"/>
          <w:szCs w:val="24"/>
        </w:rPr>
        <w:t>Lot Ten - Management Information System &amp; a Financial Accounting System with support from accredited support team for Secondary Schools.</w:t>
      </w:r>
    </w:p>
    <w:p w14:paraId="32CB2BC6" w14:textId="77777777" w:rsidR="00E2514E" w:rsidRPr="00E2514E" w:rsidRDefault="00E2514E" w:rsidP="00E2514E">
      <w:pPr>
        <w:widowControl w:val="0"/>
        <w:adjustRightInd w:val="0"/>
        <w:spacing w:after="0" w:line="240" w:lineRule="auto"/>
        <w:jc w:val="both"/>
        <w:textAlignment w:val="baseline"/>
        <w:rPr>
          <w:rFonts w:eastAsia="Times New Roman" w:cstheme="minorHAnsi"/>
          <w:szCs w:val="24"/>
        </w:rPr>
      </w:pPr>
    </w:p>
    <w:p w14:paraId="375B146F" w14:textId="77777777" w:rsidR="00E2514E" w:rsidRPr="00E2514E" w:rsidRDefault="00E2514E" w:rsidP="00E2514E">
      <w:pPr>
        <w:widowControl w:val="0"/>
        <w:numPr>
          <w:ilvl w:val="0"/>
          <w:numId w:val="12"/>
        </w:numPr>
        <w:adjustRightInd w:val="0"/>
        <w:spacing w:after="0" w:line="240" w:lineRule="auto"/>
        <w:jc w:val="both"/>
        <w:textAlignment w:val="baseline"/>
        <w:rPr>
          <w:rFonts w:eastAsia="Times New Roman" w:cstheme="minorHAnsi"/>
          <w:szCs w:val="24"/>
        </w:rPr>
      </w:pPr>
      <w:r w:rsidRPr="00E2514E">
        <w:rPr>
          <w:rFonts w:eastAsia="Times New Roman" w:cstheme="minorHAnsi"/>
          <w:szCs w:val="24"/>
        </w:rPr>
        <w:lastRenderedPageBreak/>
        <w:t>Lot Eleven - Management Information System &amp; a Financial Accounting System with support from the Supplier for Primary Schools.</w:t>
      </w:r>
    </w:p>
    <w:p w14:paraId="3C2BC76F" w14:textId="77777777" w:rsidR="00E2514E" w:rsidRPr="00E2514E" w:rsidRDefault="00E2514E" w:rsidP="00E2514E">
      <w:pPr>
        <w:widowControl w:val="0"/>
        <w:adjustRightInd w:val="0"/>
        <w:spacing w:after="0" w:line="240" w:lineRule="auto"/>
        <w:jc w:val="both"/>
        <w:textAlignment w:val="baseline"/>
        <w:rPr>
          <w:rFonts w:eastAsia="Times New Roman" w:cstheme="minorHAnsi"/>
          <w:szCs w:val="24"/>
        </w:rPr>
      </w:pPr>
    </w:p>
    <w:p w14:paraId="768EB062" w14:textId="77777777" w:rsidR="00E2514E" w:rsidRPr="00E2514E" w:rsidRDefault="00E2514E" w:rsidP="00E2514E">
      <w:pPr>
        <w:widowControl w:val="0"/>
        <w:numPr>
          <w:ilvl w:val="0"/>
          <w:numId w:val="12"/>
        </w:numPr>
        <w:adjustRightInd w:val="0"/>
        <w:spacing w:after="0" w:line="240" w:lineRule="auto"/>
        <w:jc w:val="both"/>
        <w:textAlignment w:val="baseline"/>
        <w:rPr>
          <w:rFonts w:eastAsia="Times New Roman" w:cstheme="minorHAnsi"/>
          <w:szCs w:val="24"/>
        </w:rPr>
      </w:pPr>
      <w:r w:rsidRPr="00E2514E">
        <w:rPr>
          <w:rFonts w:eastAsia="Times New Roman" w:cstheme="minorHAnsi"/>
          <w:szCs w:val="24"/>
        </w:rPr>
        <w:t>Lot Twelve - Management Information System &amp; a Financial Accounting System with support from the Supplier for Secondary Schools.</w:t>
      </w:r>
    </w:p>
    <w:p w14:paraId="5B118F3E" w14:textId="77777777" w:rsidR="00E2514E" w:rsidRPr="00E2514E" w:rsidRDefault="00E2514E" w:rsidP="00E2514E">
      <w:pPr>
        <w:widowControl w:val="0"/>
        <w:adjustRightInd w:val="0"/>
        <w:spacing w:after="0" w:line="240" w:lineRule="auto"/>
        <w:ind w:left="1224" w:hanging="720"/>
        <w:jc w:val="both"/>
        <w:textAlignment w:val="baseline"/>
        <w:rPr>
          <w:rFonts w:ascii="Arial" w:eastAsia="Times New Roman" w:hAnsi="Arial" w:cs="Arial"/>
          <w:sz w:val="20"/>
          <w:szCs w:val="24"/>
          <w:lang w:val="en"/>
        </w:rPr>
      </w:pPr>
    </w:p>
    <w:p w14:paraId="4BB1303D" w14:textId="77777777" w:rsidR="00E2514E" w:rsidRPr="00E2514E" w:rsidRDefault="00E2514E" w:rsidP="00E2514E">
      <w:pPr>
        <w:rPr>
          <w:b/>
          <w:bCs/>
          <w:kern w:val="2"/>
          <w14:ligatures w14:val="standardContextual"/>
        </w:rPr>
      </w:pPr>
    </w:p>
    <w:p w14:paraId="12C7EF19" w14:textId="77777777" w:rsidR="00E2514E" w:rsidRDefault="00E2514E" w:rsidP="00FF7254"/>
    <w:p w14:paraId="1001A7C2" w14:textId="77777777" w:rsidR="00E2514E" w:rsidRDefault="00E2514E" w:rsidP="00FF7254"/>
    <w:p w14:paraId="1D8A4D07" w14:textId="77777777" w:rsidR="00FF0C64" w:rsidRPr="00EC45DD" w:rsidRDefault="00FF0C64" w:rsidP="00FF0C64">
      <w:pPr>
        <w:pStyle w:val="ListParagraph"/>
        <w:ind w:left="792"/>
      </w:pPr>
    </w:p>
    <w:p w14:paraId="6B51FA3F" w14:textId="77777777" w:rsidR="00EC45DD" w:rsidRPr="00EC45DD" w:rsidRDefault="00EC45DD" w:rsidP="00EC45DD"/>
    <w:p w14:paraId="2569964A" w14:textId="108208BA" w:rsidR="00EC45DD" w:rsidRDefault="00EC45DD" w:rsidP="00EC45DD"/>
    <w:p w14:paraId="0954C33C" w14:textId="77777777" w:rsidR="00FB46A9" w:rsidRPr="000E3AA5" w:rsidRDefault="00FB46A9" w:rsidP="000E3AA5">
      <w:pPr>
        <w:ind w:left="360"/>
      </w:pPr>
    </w:p>
    <w:p w14:paraId="1953EE55" w14:textId="77777777" w:rsidR="000E3AA5" w:rsidRPr="000A4EFB" w:rsidRDefault="000E3AA5" w:rsidP="000E3AA5">
      <w:pPr>
        <w:ind w:left="360"/>
      </w:pPr>
    </w:p>
    <w:sectPr w:rsidR="000E3AA5" w:rsidRPr="000A4E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DA22" w14:textId="77777777" w:rsidR="0060171D" w:rsidRDefault="0060171D" w:rsidP="00E40A49">
      <w:pPr>
        <w:spacing w:after="0" w:line="240" w:lineRule="auto"/>
      </w:pPr>
      <w:r>
        <w:separator/>
      </w:r>
    </w:p>
  </w:endnote>
  <w:endnote w:type="continuationSeparator" w:id="0">
    <w:p w14:paraId="17612B0F" w14:textId="77777777" w:rsidR="0060171D" w:rsidRDefault="0060171D" w:rsidP="00E4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BD92" w14:textId="77777777" w:rsidR="00E40A49" w:rsidRDefault="00E40A49">
    <w:pPr>
      <w:pStyle w:val="Footer"/>
    </w:pPr>
    <w:r>
      <w:rPr>
        <w:noProof/>
      </w:rPr>
      <mc:AlternateContent>
        <mc:Choice Requires="wps">
          <w:drawing>
            <wp:anchor distT="0" distB="0" distL="0" distR="0" simplePos="0" relativeHeight="251659264" behindDoc="0" locked="0" layoutInCell="1" allowOverlap="1" wp14:anchorId="3565E0DA" wp14:editId="206FC903">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8D424"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65E0D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E08D424"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73E3" w14:textId="77777777" w:rsidR="00E40A49" w:rsidRDefault="00E40A49">
    <w:pPr>
      <w:pStyle w:val="Footer"/>
    </w:pPr>
    <w:r>
      <w:rPr>
        <w:noProof/>
      </w:rPr>
      <mc:AlternateContent>
        <mc:Choice Requires="wps">
          <w:drawing>
            <wp:anchor distT="0" distB="0" distL="0" distR="0" simplePos="0" relativeHeight="251660288" behindDoc="0" locked="0" layoutInCell="1" allowOverlap="1" wp14:anchorId="7B7F4C4E" wp14:editId="5D9F52D5">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D8A0"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7F4C4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D8A0"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FC2" w14:textId="77777777" w:rsidR="00E40A49" w:rsidRDefault="00E40A49">
    <w:pPr>
      <w:pStyle w:val="Footer"/>
    </w:pPr>
    <w:r>
      <w:rPr>
        <w:noProof/>
      </w:rPr>
      <mc:AlternateContent>
        <mc:Choice Requires="wps">
          <w:drawing>
            <wp:anchor distT="0" distB="0" distL="0" distR="0" simplePos="0" relativeHeight="251658240" behindDoc="0" locked="0" layoutInCell="1" allowOverlap="1" wp14:anchorId="44399104" wp14:editId="6F7D25E9">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44538"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399104"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F244538" w14:textId="77777777" w:rsidR="00E40A49" w:rsidRPr="00E40A49" w:rsidRDefault="00E40A49">
                    <w:pPr>
                      <w:rPr>
                        <w:rFonts w:ascii="Calibri" w:eastAsia="Calibri" w:hAnsi="Calibri" w:cs="Calibri"/>
                        <w:color w:val="FF0000"/>
                        <w:sz w:val="20"/>
                        <w:szCs w:val="20"/>
                      </w:rPr>
                    </w:pPr>
                    <w:r w:rsidRPr="00E40A49">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EB4E" w14:textId="77777777" w:rsidR="0060171D" w:rsidRDefault="0060171D" w:rsidP="00E40A49">
      <w:pPr>
        <w:spacing w:after="0" w:line="240" w:lineRule="auto"/>
      </w:pPr>
      <w:r>
        <w:separator/>
      </w:r>
    </w:p>
  </w:footnote>
  <w:footnote w:type="continuationSeparator" w:id="0">
    <w:p w14:paraId="72F2216F" w14:textId="77777777" w:rsidR="0060171D" w:rsidRDefault="0060171D" w:rsidP="00E40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8D09" w14:textId="77777777" w:rsidR="00E40A49" w:rsidRDefault="00E40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BC3A" w14:textId="77777777" w:rsidR="00E40A49" w:rsidRDefault="00E40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464C" w14:textId="77777777" w:rsidR="00E40A49" w:rsidRDefault="00E40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C6"/>
    <w:multiLevelType w:val="multilevel"/>
    <w:tmpl w:val="08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65BBF"/>
    <w:multiLevelType w:val="multilevel"/>
    <w:tmpl w:val="0809001D"/>
    <w:numStyleLink w:val="Style2"/>
  </w:abstractNum>
  <w:abstractNum w:abstractNumId="2" w15:restartNumberingAfterBreak="0">
    <w:nsid w:val="09ED016E"/>
    <w:multiLevelType w:val="hybridMultilevel"/>
    <w:tmpl w:val="F1F8734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C4F517F"/>
    <w:multiLevelType w:val="multilevel"/>
    <w:tmpl w:val="0809001F"/>
    <w:styleLink w:val="Styl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855FC"/>
    <w:multiLevelType w:val="hybridMultilevel"/>
    <w:tmpl w:val="DB8E4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4446FE"/>
    <w:multiLevelType w:val="hybridMultilevel"/>
    <w:tmpl w:val="9DC635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2634446B"/>
    <w:multiLevelType w:val="multilevel"/>
    <w:tmpl w:val="0809001F"/>
    <w:numStyleLink w:val="Style6"/>
  </w:abstractNum>
  <w:abstractNum w:abstractNumId="7" w15:restartNumberingAfterBreak="0">
    <w:nsid w:val="28502DE6"/>
    <w:multiLevelType w:val="multilevel"/>
    <w:tmpl w:val="6B589B16"/>
    <w:styleLink w:val="Style1"/>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9474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1A4C82"/>
    <w:multiLevelType w:val="multilevel"/>
    <w:tmpl w:val="08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55C54"/>
    <w:multiLevelType w:val="multilevel"/>
    <w:tmpl w:val="0809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36F97"/>
    <w:multiLevelType w:val="multilevel"/>
    <w:tmpl w:val="0809001F"/>
    <w:numStyleLink w:val="Style5"/>
  </w:abstractNum>
  <w:abstractNum w:abstractNumId="12" w15:restartNumberingAfterBreak="0">
    <w:nsid w:val="45190203"/>
    <w:multiLevelType w:val="multilevel"/>
    <w:tmpl w:val="810E56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9243EA"/>
    <w:multiLevelType w:val="multilevel"/>
    <w:tmpl w:val="295401C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BE5B28"/>
    <w:multiLevelType w:val="multilevel"/>
    <w:tmpl w:val="0809001F"/>
    <w:numStyleLink w:val="Style4"/>
  </w:abstractNum>
  <w:abstractNum w:abstractNumId="15" w15:restartNumberingAfterBreak="0">
    <w:nsid w:val="57F343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E4484D"/>
    <w:multiLevelType w:val="hybridMultilevel"/>
    <w:tmpl w:val="FFA4D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428C0"/>
    <w:multiLevelType w:val="multilevel"/>
    <w:tmpl w:val="0809001F"/>
    <w:numStyleLink w:val="Style3"/>
  </w:abstractNum>
  <w:abstractNum w:abstractNumId="18" w15:restartNumberingAfterBreak="0">
    <w:nsid w:val="6E4F2381"/>
    <w:multiLevelType w:val="multilevel"/>
    <w:tmpl w:val="4378A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7668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4C7A9A"/>
    <w:multiLevelType w:val="multilevel"/>
    <w:tmpl w:val="08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5554D5"/>
    <w:multiLevelType w:val="multilevel"/>
    <w:tmpl w:val="6E48364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E96793"/>
    <w:multiLevelType w:val="hybridMultilevel"/>
    <w:tmpl w:val="69AA225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3" w15:restartNumberingAfterBreak="0">
    <w:nsid w:val="7D7F33D8"/>
    <w:multiLevelType w:val="hybridMultilevel"/>
    <w:tmpl w:val="3710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D739C"/>
    <w:multiLevelType w:val="multilevel"/>
    <w:tmpl w:val="810E56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FE19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1248761">
    <w:abstractNumId w:val="18"/>
  </w:num>
  <w:num w:numId="2" w16cid:durableId="1080056217">
    <w:abstractNumId w:val="8"/>
  </w:num>
  <w:num w:numId="3" w16cid:durableId="1814445697">
    <w:abstractNumId w:val="16"/>
  </w:num>
  <w:num w:numId="4" w16cid:durableId="1675183386">
    <w:abstractNumId w:val="1"/>
  </w:num>
  <w:num w:numId="5" w16cid:durableId="1442146829">
    <w:abstractNumId w:val="12"/>
  </w:num>
  <w:num w:numId="6" w16cid:durableId="1963685818">
    <w:abstractNumId w:val="22"/>
  </w:num>
  <w:num w:numId="7" w16cid:durableId="116411584">
    <w:abstractNumId w:val="24"/>
  </w:num>
  <w:num w:numId="8" w16cid:durableId="941305400">
    <w:abstractNumId w:val="15"/>
  </w:num>
  <w:num w:numId="9" w16cid:durableId="1871800065">
    <w:abstractNumId w:val="5"/>
  </w:num>
  <w:num w:numId="10" w16cid:durableId="1673069166">
    <w:abstractNumId w:val="25"/>
  </w:num>
  <w:num w:numId="11" w16cid:durableId="293148033">
    <w:abstractNumId w:val="23"/>
  </w:num>
  <w:num w:numId="12" w16cid:durableId="1911033804">
    <w:abstractNumId w:val="4"/>
  </w:num>
  <w:num w:numId="13" w16cid:durableId="518352817">
    <w:abstractNumId w:val="7"/>
  </w:num>
  <w:num w:numId="14" w16cid:durableId="1809862751">
    <w:abstractNumId w:val="0"/>
  </w:num>
  <w:num w:numId="15" w16cid:durableId="1824851466">
    <w:abstractNumId w:val="17"/>
  </w:num>
  <w:num w:numId="16" w16cid:durableId="1048648099">
    <w:abstractNumId w:val="20"/>
  </w:num>
  <w:num w:numId="17" w16cid:durableId="536771560">
    <w:abstractNumId w:val="14"/>
  </w:num>
  <w:num w:numId="18" w16cid:durableId="1672369621">
    <w:abstractNumId w:val="9"/>
  </w:num>
  <w:num w:numId="19" w16cid:durableId="1604412290">
    <w:abstractNumId w:val="21"/>
  </w:num>
  <w:num w:numId="20" w16cid:durableId="1897079657">
    <w:abstractNumId w:val="11"/>
  </w:num>
  <w:num w:numId="21" w16cid:durableId="1165780709">
    <w:abstractNumId w:val="3"/>
  </w:num>
  <w:num w:numId="22" w16cid:durableId="981229869">
    <w:abstractNumId w:val="10"/>
  </w:num>
  <w:num w:numId="23" w16cid:durableId="612639967">
    <w:abstractNumId w:val="6"/>
  </w:num>
  <w:num w:numId="24" w16cid:durableId="2093309504">
    <w:abstractNumId w:val="19"/>
  </w:num>
  <w:num w:numId="25" w16cid:durableId="1350638245">
    <w:abstractNumId w:val="13"/>
  </w:num>
  <w:num w:numId="26" w16cid:durableId="151368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49"/>
    <w:rsid w:val="0009660D"/>
    <w:rsid w:val="000A4EFB"/>
    <w:rsid w:val="000D07EC"/>
    <w:rsid w:val="000E3AA5"/>
    <w:rsid w:val="001F3B74"/>
    <w:rsid w:val="002339B8"/>
    <w:rsid w:val="00272260"/>
    <w:rsid w:val="0028531D"/>
    <w:rsid w:val="0029513F"/>
    <w:rsid w:val="00310D77"/>
    <w:rsid w:val="003110CB"/>
    <w:rsid w:val="00377C60"/>
    <w:rsid w:val="003D5393"/>
    <w:rsid w:val="004B289A"/>
    <w:rsid w:val="00532F57"/>
    <w:rsid w:val="005674F5"/>
    <w:rsid w:val="005A475D"/>
    <w:rsid w:val="005D797F"/>
    <w:rsid w:val="0060171D"/>
    <w:rsid w:val="006E0323"/>
    <w:rsid w:val="0076347B"/>
    <w:rsid w:val="00B77779"/>
    <w:rsid w:val="00BA75DE"/>
    <w:rsid w:val="00C10BB8"/>
    <w:rsid w:val="00C548CB"/>
    <w:rsid w:val="00CB08FC"/>
    <w:rsid w:val="00CB0E5E"/>
    <w:rsid w:val="00E053A7"/>
    <w:rsid w:val="00E23D35"/>
    <w:rsid w:val="00E2514E"/>
    <w:rsid w:val="00E40A49"/>
    <w:rsid w:val="00E50C73"/>
    <w:rsid w:val="00E53123"/>
    <w:rsid w:val="00EC45DD"/>
    <w:rsid w:val="00FB46A9"/>
    <w:rsid w:val="00FF0C64"/>
    <w:rsid w:val="00FF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35E1"/>
  <w15:chartTrackingRefBased/>
  <w15:docId w15:val="{49397AD3-D632-4819-8E85-3185209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0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49"/>
  </w:style>
  <w:style w:type="paragraph" w:styleId="Footer">
    <w:name w:val="footer"/>
    <w:basedOn w:val="Normal"/>
    <w:link w:val="FooterChar"/>
    <w:uiPriority w:val="99"/>
    <w:unhideWhenUsed/>
    <w:rsid w:val="00E4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49"/>
  </w:style>
  <w:style w:type="character" w:customStyle="1" w:styleId="Heading1Char">
    <w:name w:val="Heading 1 Char"/>
    <w:basedOn w:val="DefaultParagraphFont"/>
    <w:link w:val="Heading1"/>
    <w:uiPriority w:val="9"/>
    <w:rsid w:val="00E40A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0A4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40A49"/>
    <w:pPr>
      <w:ind w:left="720"/>
      <w:contextualSpacing/>
    </w:pPr>
  </w:style>
  <w:style w:type="character" w:styleId="Hyperlink">
    <w:name w:val="Hyperlink"/>
    <w:basedOn w:val="DefaultParagraphFont"/>
    <w:uiPriority w:val="99"/>
    <w:unhideWhenUsed/>
    <w:rsid w:val="000A4EFB"/>
    <w:rPr>
      <w:color w:val="0563C1" w:themeColor="hyperlink"/>
      <w:u w:val="single"/>
    </w:rPr>
  </w:style>
  <w:style w:type="character" w:styleId="UnresolvedMention">
    <w:name w:val="Unresolved Mention"/>
    <w:basedOn w:val="DefaultParagraphFont"/>
    <w:uiPriority w:val="99"/>
    <w:semiHidden/>
    <w:unhideWhenUsed/>
    <w:rsid w:val="000A4EFB"/>
    <w:rPr>
      <w:color w:val="605E5C"/>
      <w:shd w:val="clear" w:color="auto" w:fill="E1DFDD"/>
    </w:rPr>
  </w:style>
  <w:style w:type="character" w:styleId="FollowedHyperlink">
    <w:name w:val="FollowedHyperlink"/>
    <w:basedOn w:val="DefaultParagraphFont"/>
    <w:uiPriority w:val="99"/>
    <w:semiHidden/>
    <w:unhideWhenUsed/>
    <w:rsid w:val="000A4EFB"/>
    <w:rPr>
      <w:color w:val="954F72" w:themeColor="followedHyperlink"/>
      <w:u w:val="single"/>
    </w:rPr>
  </w:style>
  <w:style w:type="character" w:styleId="CommentReference">
    <w:name w:val="annotation reference"/>
    <w:basedOn w:val="DefaultParagraphFont"/>
    <w:uiPriority w:val="99"/>
    <w:semiHidden/>
    <w:unhideWhenUsed/>
    <w:rsid w:val="000D07EC"/>
    <w:rPr>
      <w:sz w:val="16"/>
      <w:szCs w:val="16"/>
    </w:rPr>
  </w:style>
  <w:style w:type="paragraph" w:styleId="CommentText">
    <w:name w:val="annotation text"/>
    <w:basedOn w:val="Normal"/>
    <w:link w:val="CommentTextChar"/>
    <w:uiPriority w:val="99"/>
    <w:semiHidden/>
    <w:unhideWhenUsed/>
    <w:rsid w:val="000D07EC"/>
    <w:pPr>
      <w:spacing w:line="240" w:lineRule="auto"/>
    </w:pPr>
    <w:rPr>
      <w:sz w:val="20"/>
      <w:szCs w:val="20"/>
    </w:rPr>
  </w:style>
  <w:style w:type="character" w:customStyle="1" w:styleId="CommentTextChar">
    <w:name w:val="Comment Text Char"/>
    <w:basedOn w:val="DefaultParagraphFont"/>
    <w:link w:val="CommentText"/>
    <w:uiPriority w:val="99"/>
    <w:semiHidden/>
    <w:rsid w:val="000D07EC"/>
    <w:rPr>
      <w:sz w:val="20"/>
      <w:szCs w:val="20"/>
    </w:rPr>
  </w:style>
  <w:style w:type="paragraph" w:styleId="CommentSubject">
    <w:name w:val="annotation subject"/>
    <w:basedOn w:val="CommentText"/>
    <w:next w:val="CommentText"/>
    <w:link w:val="CommentSubjectChar"/>
    <w:uiPriority w:val="99"/>
    <w:semiHidden/>
    <w:unhideWhenUsed/>
    <w:rsid w:val="000D07EC"/>
    <w:rPr>
      <w:b/>
      <w:bCs/>
    </w:rPr>
  </w:style>
  <w:style w:type="character" w:customStyle="1" w:styleId="CommentSubjectChar">
    <w:name w:val="Comment Subject Char"/>
    <w:basedOn w:val="CommentTextChar"/>
    <w:link w:val="CommentSubject"/>
    <w:uiPriority w:val="99"/>
    <w:semiHidden/>
    <w:rsid w:val="000D07EC"/>
    <w:rPr>
      <w:b/>
      <w:bCs/>
      <w:sz w:val="20"/>
      <w:szCs w:val="20"/>
    </w:rPr>
  </w:style>
  <w:style w:type="table" w:styleId="TableGrid">
    <w:name w:val="Table Grid"/>
    <w:basedOn w:val="TableNormal"/>
    <w:rsid w:val="000D07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0D7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10D77"/>
    <w:rPr>
      <w:b/>
      <w:bCs/>
    </w:rPr>
  </w:style>
  <w:style w:type="table" w:customStyle="1" w:styleId="TableGrid1">
    <w:name w:val="Table Grid1"/>
    <w:basedOn w:val="TableNormal"/>
    <w:next w:val="TableGrid"/>
    <w:rsid w:val="00E2514E"/>
    <w:pPr>
      <w:spacing w:after="0" w:line="240" w:lineRule="auto"/>
      <w:ind w:left="720" w:hanging="72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D797F"/>
    <w:pPr>
      <w:numPr>
        <w:numId w:val="13"/>
      </w:numPr>
    </w:pPr>
  </w:style>
  <w:style w:type="numbering" w:customStyle="1" w:styleId="Style2">
    <w:name w:val="Style2"/>
    <w:uiPriority w:val="99"/>
    <w:rsid w:val="005D797F"/>
    <w:pPr>
      <w:numPr>
        <w:numId w:val="14"/>
      </w:numPr>
    </w:pPr>
  </w:style>
  <w:style w:type="numbering" w:customStyle="1" w:styleId="Style3">
    <w:name w:val="Style3"/>
    <w:uiPriority w:val="99"/>
    <w:rsid w:val="005D797F"/>
    <w:pPr>
      <w:numPr>
        <w:numId w:val="16"/>
      </w:numPr>
    </w:pPr>
  </w:style>
  <w:style w:type="numbering" w:customStyle="1" w:styleId="Style4">
    <w:name w:val="Style4"/>
    <w:uiPriority w:val="99"/>
    <w:rsid w:val="005D797F"/>
    <w:pPr>
      <w:numPr>
        <w:numId w:val="18"/>
      </w:numPr>
    </w:pPr>
  </w:style>
  <w:style w:type="numbering" w:customStyle="1" w:styleId="Style5">
    <w:name w:val="Style5"/>
    <w:uiPriority w:val="99"/>
    <w:rsid w:val="0029513F"/>
    <w:pPr>
      <w:numPr>
        <w:numId w:val="21"/>
      </w:numPr>
    </w:pPr>
  </w:style>
  <w:style w:type="numbering" w:customStyle="1" w:styleId="Style6">
    <w:name w:val="Style6"/>
    <w:uiPriority w:val="99"/>
    <w:rsid w:val="0029513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01d6a6d3bf7f25f813fc3a/List_of_councils_in_England_2023.pdf" TargetMode="Externa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common-transfer-fil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et-information-schools.service.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aw.gov.wales/local-government-bod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Chapman</dc:creator>
  <cp:keywords/>
  <dc:description/>
  <cp:lastModifiedBy>Keren Wild</cp:lastModifiedBy>
  <cp:revision>5</cp:revision>
  <dcterms:created xsi:type="dcterms:W3CDTF">2024-12-24T08:56:00Z</dcterms:created>
  <dcterms:modified xsi:type="dcterms:W3CDTF">2024-12-24T09:21:00Z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2024-01-22T09:11:12Z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5ad446c1-bb65-47d9-aa7e-0ad72bbf240d</vt:lpwstr>
  </property>
  <property fmtid="{D5CDD505-2E9C-101B-9397-08002B2CF9AE}" pid="11" name="MSIP_Label_3ecdfc32-7be5-4b17-9f97-00453388bdd7_ContentBits">
    <vt:lpwstr>2</vt:lpwstr>
  </property>
</Properties>
</file>